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385B" w14:textId="1394583C" w:rsidR="00CE2425" w:rsidRDefault="002A72EF" w:rsidP="0090372E">
      <w:pPr>
        <w:spacing w:before="120" w:after="480"/>
        <w:jc w:val="center"/>
      </w:pPr>
      <w:r>
        <w:rPr>
          <w:b/>
        </w:rPr>
        <w:t>TÖ</w:t>
      </w:r>
      <w:r w:rsidR="00CE2425" w:rsidRPr="008A3107">
        <w:rPr>
          <w:b/>
        </w:rPr>
        <w:t>ÖVÕTULEPING</w:t>
      </w:r>
      <w:r w:rsidR="00CE2425">
        <w:rPr>
          <w:b/>
        </w:rPr>
        <w:t xml:space="preserve"> </w:t>
      </w:r>
      <w:r w:rsidR="0090372E">
        <w:rPr>
          <w:b/>
        </w:rPr>
        <w:t>nr</w:t>
      </w:r>
    </w:p>
    <w:p w14:paraId="19A4E22A" w14:textId="3CABF490" w:rsidR="00CE2425" w:rsidRDefault="00CE2425" w:rsidP="00FF1205">
      <w:pPr>
        <w:tabs>
          <w:tab w:val="left" w:pos="6946"/>
        </w:tabs>
        <w:jc w:val="both"/>
      </w:pPr>
      <w:r>
        <w:t>Tallinn</w:t>
      </w:r>
      <w:r>
        <w:tab/>
      </w:r>
    </w:p>
    <w:p w14:paraId="4D4CBA81" w14:textId="77777777" w:rsidR="001A4789" w:rsidRDefault="001A4789" w:rsidP="001A4789">
      <w:pPr>
        <w:jc w:val="both"/>
        <w:rPr>
          <w:b/>
          <w:bCs/>
        </w:rPr>
      </w:pPr>
    </w:p>
    <w:p w14:paraId="57DAFAF8" w14:textId="77777777" w:rsidR="001A4789" w:rsidRDefault="001A4789" w:rsidP="001A4789">
      <w:pPr>
        <w:jc w:val="both"/>
        <w:rPr>
          <w:b/>
          <w:bCs/>
        </w:rPr>
      </w:pPr>
    </w:p>
    <w:p w14:paraId="5DD9F530" w14:textId="7FDAE16F" w:rsidR="001A4789" w:rsidRDefault="001A4789" w:rsidP="001A4789">
      <w:pPr>
        <w:jc w:val="both"/>
      </w:pPr>
      <w:r>
        <w:rPr>
          <w:b/>
          <w:bCs/>
        </w:rPr>
        <w:t>Tarbijakaitse</w:t>
      </w:r>
      <w:r>
        <w:rPr>
          <w:b/>
          <w:bCs/>
          <w:spacing w:val="17"/>
        </w:rPr>
        <w:t xml:space="preserve"> </w:t>
      </w:r>
      <w:r>
        <w:rPr>
          <w:b/>
          <w:bCs/>
        </w:rPr>
        <w:t>ja</w:t>
      </w:r>
      <w:r>
        <w:rPr>
          <w:b/>
          <w:bCs/>
          <w:spacing w:val="17"/>
        </w:rPr>
        <w:t xml:space="preserve"> </w:t>
      </w:r>
      <w:r>
        <w:rPr>
          <w:b/>
          <w:bCs/>
        </w:rPr>
        <w:t>Tehnilise</w:t>
      </w:r>
      <w:r>
        <w:rPr>
          <w:b/>
          <w:bCs/>
          <w:spacing w:val="17"/>
        </w:rPr>
        <w:t xml:space="preserve"> </w:t>
      </w:r>
      <w:r>
        <w:rPr>
          <w:b/>
          <w:bCs/>
        </w:rPr>
        <w:t>Järelevalve</w:t>
      </w:r>
      <w:r>
        <w:rPr>
          <w:b/>
          <w:bCs/>
          <w:spacing w:val="17"/>
        </w:rPr>
        <w:t xml:space="preserve"> </w:t>
      </w:r>
      <w:r>
        <w:rPr>
          <w:b/>
          <w:bCs/>
        </w:rPr>
        <w:t>Amet</w:t>
      </w:r>
      <w:r>
        <w:t>,</w:t>
      </w:r>
      <w:r>
        <w:rPr>
          <w:spacing w:val="20"/>
        </w:rPr>
        <w:t xml:space="preserve"> </w:t>
      </w:r>
      <w:r>
        <w:t>registrikood</w:t>
      </w:r>
      <w:r>
        <w:rPr>
          <w:spacing w:val="17"/>
        </w:rPr>
        <w:t xml:space="preserve"> </w:t>
      </w:r>
      <w:r>
        <w:t>70003218,</w:t>
      </w:r>
      <w:r>
        <w:rPr>
          <w:spacing w:val="20"/>
        </w:rPr>
        <w:t xml:space="preserve"> </w:t>
      </w:r>
      <w:r>
        <w:t>asukoht</w:t>
      </w:r>
      <w:r>
        <w:rPr>
          <w:spacing w:val="19"/>
        </w:rPr>
        <w:t xml:space="preserve"> </w:t>
      </w:r>
      <w:r>
        <w:t>Endla</w:t>
      </w:r>
      <w:r>
        <w:rPr>
          <w:spacing w:val="17"/>
        </w:rPr>
        <w:t xml:space="preserve"> </w:t>
      </w:r>
      <w:r>
        <w:t>10a,</w:t>
      </w:r>
      <w:r>
        <w:rPr>
          <w:spacing w:val="20"/>
        </w:rPr>
        <w:t xml:space="preserve"> </w:t>
      </w:r>
      <w:r>
        <w:t>Tallinn</w:t>
      </w:r>
      <w:r>
        <w:rPr>
          <w:spacing w:val="-57"/>
        </w:rPr>
        <w:t xml:space="preserve"> </w:t>
      </w:r>
      <w:r>
        <w:t>10122,</w:t>
      </w:r>
      <w:r>
        <w:rPr>
          <w:spacing w:val="-1"/>
        </w:rPr>
        <w:t xml:space="preserve"> </w:t>
      </w:r>
      <w:r>
        <w:t>mida</w:t>
      </w:r>
      <w:r>
        <w:rPr>
          <w:spacing w:val="-1"/>
        </w:rPr>
        <w:t xml:space="preserve"> </w:t>
      </w:r>
      <w:r>
        <w:t xml:space="preserve">esindab </w:t>
      </w:r>
      <w:r w:rsidR="009E027A">
        <w:t>peadirektor</w:t>
      </w:r>
      <w:r>
        <w:t xml:space="preserve"> </w:t>
      </w:r>
      <w:r w:rsidR="009E027A">
        <w:t xml:space="preserve">Kristi Talving </w:t>
      </w:r>
      <w:r>
        <w:t>(edaspidi</w:t>
      </w:r>
      <w:r>
        <w:rPr>
          <w:spacing w:val="3"/>
        </w:rPr>
        <w:t xml:space="preserve"> </w:t>
      </w:r>
      <w:r>
        <w:rPr>
          <w:b/>
          <w:bCs/>
        </w:rPr>
        <w:t>Tellija</w:t>
      </w:r>
      <w:r>
        <w:t>)</w:t>
      </w:r>
    </w:p>
    <w:p w14:paraId="0DA01C51" w14:textId="77777777" w:rsidR="001A4789" w:rsidRDefault="001A4789" w:rsidP="001A4789">
      <w:pPr>
        <w:pStyle w:val="BodyText"/>
      </w:pPr>
      <w:r>
        <w:t>ja</w:t>
      </w:r>
    </w:p>
    <w:p w14:paraId="526AF5CA" w14:textId="5C0ED03D" w:rsidR="001A4789" w:rsidRDefault="00271A29" w:rsidP="001A4789">
      <w:pPr>
        <w:pStyle w:val="BodyText"/>
        <w:ind w:right="106"/>
      </w:pPr>
      <w:r>
        <w:rPr>
          <w:b/>
          <w:bCs/>
        </w:rPr>
        <w:t>...,</w:t>
      </w:r>
      <w:r w:rsidR="001A4789">
        <w:rPr>
          <w:b/>
          <w:bCs/>
          <w:spacing w:val="1"/>
        </w:rPr>
        <w:t xml:space="preserve"> </w:t>
      </w:r>
      <w:r w:rsidR="001A4789">
        <w:t>registrikood</w:t>
      </w:r>
      <w:r w:rsidR="001A4789">
        <w:rPr>
          <w:spacing w:val="1"/>
        </w:rPr>
        <w:t xml:space="preserve"> </w:t>
      </w:r>
      <w:r>
        <w:rPr>
          <w:spacing w:val="1"/>
        </w:rPr>
        <w:t>...,</w:t>
      </w:r>
      <w:r w:rsidR="001A4789">
        <w:rPr>
          <w:spacing w:val="1"/>
        </w:rPr>
        <w:t xml:space="preserve"> </w:t>
      </w:r>
      <w:r w:rsidR="001A4789">
        <w:t>asukoht</w:t>
      </w:r>
      <w:r w:rsidR="0006480E">
        <w:rPr>
          <w:spacing w:val="1"/>
        </w:rPr>
        <w:t xml:space="preserve"> </w:t>
      </w:r>
      <w:r>
        <w:rPr>
          <w:spacing w:val="1"/>
        </w:rPr>
        <w:t>..,</w:t>
      </w:r>
      <w:r w:rsidR="001A4789">
        <w:rPr>
          <w:color w:val="202429"/>
          <w:spacing w:val="1"/>
        </w:rPr>
        <w:t xml:space="preserve"> </w:t>
      </w:r>
      <w:r w:rsidR="001A4789">
        <w:rPr>
          <w:color w:val="202429"/>
        </w:rPr>
        <w:t xml:space="preserve">mida esindab </w:t>
      </w:r>
      <w:r>
        <w:rPr>
          <w:color w:val="202429"/>
        </w:rPr>
        <w:t xml:space="preserve">põhikirja/volikirja alusel ... </w:t>
      </w:r>
      <w:r w:rsidR="001A4789">
        <w:t>(edaspidi</w:t>
      </w:r>
      <w:r w:rsidR="001A4789">
        <w:rPr>
          <w:spacing w:val="1"/>
        </w:rPr>
        <w:t xml:space="preserve"> </w:t>
      </w:r>
      <w:r w:rsidR="001A4789">
        <w:rPr>
          <w:b/>
          <w:bCs/>
        </w:rPr>
        <w:t>Töövõtja</w:t>
      </w:r>
      <w:r w:rsidR="001A4789">
        <w:t>),</w:t>
      </w:r>
    </w:p>
    <w:p w14:paraId="6C642038" w14:textId="77777777" w:rsidR="001A4789" w:rsidRDefault="001A4789" w:rsidP="001A4789">
      <w:pPr>
        <w:pStyle w:val="BodyText"/>
        <w:ind w:left="202" w:right="106"/>
      </w:pPr>
    </w:p>
    <w:p w14:paraId="1F25AE32" w14:textId="77777777" w:rsidR="00271A29" w:rsidRDefault="001A4789" w:rsidP="001A4789">
      <w:pPr>
        <w:jc w:val="both"/>
      </w:pPr>
      <w:r>
        <w:t xml:space="preserve">keda edaspidi nimetatakse üheskoos kui </w:t>
      </w:r>
      <w:r>
        <w:rPr>
          <w:b/>
          <w:bCs/>
        </w:rPr>
        <w:t>Pooled</w:t>
      </w:r>
      <w:r>
        <w:t xml:space="preserve"> ja eraldi kui </w:t>
      </w:r>
      <w:r>
        <w:rPr>
          <w:b/>
          <w:bCs/>
        </w:rPr>
        <w:t>Pool</w:t>
      </w:r>
      <w:r>
        <w:t xml:space="preserve">, </w:t>
      </w:r>
    </w:p>
    <w:p w14:paraId="0D8CB98C" w14:textId="77777777" w:rsidR="00271A29" w:rsidRDefault="00271A29" w:rsidP="001A4789">
      <w:pPr>
        <w:jc w:val="both"/>
      </w:pPr>
    </w:p>
    <w:p w14:paraId="0863E794" w14:textId="57893CDD" w:rsidR="00271A29" w:rsidRDefault="00271A29" w:rsidP="001A4789">
      <w:pPr>
        <w:jc w:val="both"/>
      </w:pPr>
      <w:r>
        <w:t>võttes arvesse, et:</w:t>
      </w:r>
    </w:p>
    <w:p w14:paraId="1F783C17" w14:textId="49F07352" w:rsidR="00271A29" w:rsidRDefault="00271A29" w:rsidP="00271A29">
      <w:pPr>
        <w:pStyle w:val="ListParagraph"/>
        <w:numPr>
          <w:ilvl w:val="0"/>
          <w:numId w:val="21"/>
        </w:numPr>
        <w:jc w:val="both"/>
      </w:pPr>
      <w:r>
        <w:t>Tellija korraldas väikehanke „...“;</w:t>
      </w:r>
    </w:p>
    <w:p w14:paraId="10CD75C6" w14:textId="5EF91204" w:rsidR="00271A29" w:rsidRDefault="00271A29" w:rsidP="00271A29">
      <w:pPr>
        <w:pStyle w:val="ListParagraph"/>
        <w:numPr>
          <w:ilvl w:val="0"/>
          <w:numId w:val="21"/>
        </w:numPr>
        <w:jc w:val="both"/>
      </w:pPr>
      <w:r>
        <w:t xml:space="preserve">Tellija tunnistas hankemenetluses </w:t>
      </w:r>
      <w:proofErr w:type="spellStart"/>
      <w:r>
        <w:t>pp.kk.aaaa</w:t>
      </w:r>
      <w:proofErr w:type="spellEnd"/>
      <w:r>
        <w:t xml:space="preserve"> protokolliga nr ... edukaks Töövõtja pakkumuse, </w:t>
      </w:r>
    </w:p>
    <w:p w14:paraId="77BCBE00" w14:textId="77777777" w:rsidR="00271A29" w:rsidRDefault="00271A29" w:rsidP="00271A29">
      <w:pPr>
        <w:jc w:val="both"/>
      </w:pPr>
    </w:p>
    <w:p w14:paraId="5834FC61" w14:textId="03988757" w:rsidR="001A4789" w:rsidRDefault="001A4789" w:rsidP="001A4789">
      <w:pPr>
        <w:jc w:val="both"/>
      </w:pPr>
      <w:r>
        <w:t xml:space="preserve">sõlmisid käesoleva töövõtulepingu (edaspidi </w:t>
      </w:r>
      <w:r>
        <w:rPr>
          <w:b/>
          <w:bCs/>
        </w:rPr>
        <w:t>Leping</w:t>
      </w:r>
      <w:r>
        <w:t xml:space="preserve">) alljärgnevas: </w:t>
      </w:r>
    </w:p>
    <w:p w14:paraId="03C2EEC8" w14:textId="77777777" w:rsidR="001A4789" w:rsidRDefault="001A4789" w:rsidP="001A4789">
      <w:pPr>
        <w:jc w:val="both"/>
      </w:pPr>
    </w:p>
    <w:p w14:paraId="684F2474" w14:textId="77777777" w:rsidR="001A4789" w:rsidRDefault="001A4789" w:rsidP="001A4789">
      <w:pPr>
        <w:pStyle w:val="BodyText"/>
        <w:widowControl w:val="0"/>
        <w:numPr>
          <w:ilvl w:val="0"/>
          <w:numId w:val="20"/>
        </w:numPr>
        <w:autoSpaceDE w:val="0"/>
        <w:autoSpaceDN w:val="0"/>
        <w:rPr>
          <w:b/>
          <w:bCs/>
        </w:rPr>
      </w:pPr>
      <w:r>
        <w:rPr>
          <w:b/>
          <w:bCs/>
        </w:rPr>
        <w:t>Lepingu dokumendid</w:t>
      </w:r>
    </w:p>
    <w:p w14:paraId="3F366004" w14:textId="77777777" w:rsidR="001A4789" w:rsidRDefault="001A4789" w:rsidP="001A4789">
      <w:pPr>
        <w:pStyle w:val="BodyText"/>
        <w:widowControl w:val="0"/>
        <w:numPr>
          <w:ilvl w:val="1"/>
          <w:numId w:val="20"/>
        </w:numPr>
        <w:autoSpaceDE w:val="0"/>
        <w:autoSpaceDN w:val="0"/>
      </w:pPr>
      <w:r>
        <w:t>Lepingu dokumendid koosnevad käesolevast Lepingust, Lepingu lisadest ning Lepingu võimalikest muudatustest, milles lepitakse kokku pärast Lepingu allkirjastamist.</w:t>
      </w:r>
    </w:p>
    <w:p w14:paraId="240E462F" w14:textId="77777777" w:rsidR="001A4789" w:rsidRDefault="001A4789" w:rsidP="001A4789">
      <w:pPr>
        <w:pStyle w:val="BodyText"/>
        <w:widowControl w:val="0"/>
        <w:numPr>
          <w:ilvl w:val="1"/>
          <w:numId w:val="20"/>
        </w:numPr>
        <w:autoSpaceDE w:val="0"/>
        <w:autoSpaceDN w:val="0"/>
      </w:pPr>
      <w:r>
        <w:t>Lepingu allkirjastamise hetkel on sellel järgnevad lisad:</w:t>
      </w:r>
    </w:p>
    <w:p w14:paraId="7264EEE4" w14:textId="23BC1B78" w:rsidR="001A4789" w:rsidRDefault="001A4789" w:rsidP="001A4789">
      <w:pPr>
        <w:pStyle w:val="BodyText"/>
        <w:widowControl w:val="0"/>
        <w:numPr>
          <w:ilvl w:val="2"/>
          <w:numId w:val="20"/>
        </w:numPr>
        <w:autoSpaceDE w:val="0"/>
        <w:autoSpaceDN w:val="0"/>
      </w:pPr>
      <w:r>
        <w:t xml:space="preserve">Lisa </w:t>
      </w:r>
      <w:r w:rsidR="00271A29">
        <w:t>1</w:t>
      </w:r>
      <w:r>
        <w:t xml:space="preserve"> – Tellija </w:t>
      </w:r>
      <w:r w:rsidR="00271A29">
        <w:t>pp.kk.2025</w:t>
      </w:r>
      <w:r>
        <w:t xml:space="preserve"> pakkumuse esitamise kutse;</w:t>
      </w:r>
    </w:p>
    <w:p w14:paraId="252DA095" w14:textId="09A73BF1" w:rsidR="001A4789" w:rsidRDefault="001A4789" w:rsidP="001A4789">
      <w:pPr>
        <w:pStyle w:val="BodyText"/>
        <w:widowControl w:val="0"/>
        <w:numPr>
          <w:ilvl w:val="2"/>
          <w:numId w:val="20"/>
        </w:numPr>
        <w:autoSpaceDE w:val="0"/>
        <w:autoSpaceDN w:val="0"/>
      </w:pPr>
      <w:r>
        <w:t xml:space="preserve">Lisa </w:t>
      </w:r>
      <w:r w:rsidR="00271A29">
        <w:t>2</w:t>
      </w:r>
      <w:r>
        <w:t xml:space="preserve"> – Töövõtja </w:t>
      </w:r>
      <w:r w:rsidR="00271A29">
        <w:t>pp.kk.2025</w:t>
      </w:r>
      <w:r>
        <w:t xml:space="preserve"> pakkumus.</w:t>
      </w:r>
    </w:p>
    <w:p w14:paraId="6276426D" w14:textId="77777777" w:rsidR="001A4789" w:rsidRDefault="001A4789" w:rsidP="001A4789">
      <w:pPr>
        <w:pStyle w:val="BodyText"/>
        <w:ind w:left="1224"/>
      </w:pPr>
    </w:p>
    <w:p w14:paraId="6DDF48AE" w14:textId="77777777" w:rsidR="001A4789" w:rsidRDefault="001A4789" w:rsidP="001A4789">
      <w:pPr>
        <w:pStyle w:val="BodyText"/>
        <w:widowControl w:val="0"/>
        <w:numPr>
          <w:ilvl w:val="0"/>
          <w:numId w:val="20"/>
        </w:numPr>
        <w:autoSpaceDE w:val="0"/>
        <w:autoSpaceDN w:val="0"/>
        <w:rPr>
          <w:b/>
          <w:bCs/>
        </w:rPr>
      </w:pPr>
      <w:r>
        <w:rPr>
          <w:b/>
          <w:bCs/>
        </w:rPr>
        <w:t xml:space="preserve">Lepingu objekt </w:t>
      </w:r>
    </w:p>
    <w:p w14:paraId="29F4296F" w14:textId="26F35BA4" w:rsidR="001A4789" w:rsidRDefault="001A4789" w:rsidP="001A4789">
      <w:pPr>
        <w:pStyle w:val="ListParagraph"/>
        <w:widowControl w:val="0"/>
        <w:numPr>
          <w:ilvl w:val="1"/>
          <w:numId w:val="20"/>
        </w:numPr>
        <w:autoSpaceDE w:val="0"/>
        <w:autoSpaceDN w:val="0"/>
        <w:contextualSpacing w:val="0"/>
        <w:jc w:val="both"/>
      </w:pPr>
      <w:r>
        <w:t xml:space="preserve">Lepingu objekt (edaspidi nimetatud </w:t>
      </w:r>
      <w:r>
        <w:rPr>
          <w:b/>
          <w:bCs/>
        </w:rPr>
        <w:t>Töö</w:t>
      </w:r>
      <w:r>
        <w:t>) on Tellija poolt Lisaga 1 määratud el</w:t>
      </w:r>
      <w:r w:rsidR="0006480E">
        <w:t xml:space="preserve">amute </w:t>
      </w:r>
      <w:r>
        <w:t>gaasipaigaldis</w:t>
      </w:r>
      <w:r w:rsidR="0006480E">
        <w:t>t</w:t>
      </w:r>
      <w:r>
        <w:t>e kontroll</w:t>
      </w:r>
      <w:r w:rsidR="0006480E">
        <w:t xml:space="preserve"> ja korraline audit</w:t>
      </w:r>
      <w:r>
        <w:t>. Kontroll</w:t>
      </w:r>
      <w:r w:rsidR="0006480E">
        <w:t xml:space="preserve"> ja audit</w:t>
      </w:r>
      <w:r>
        <w:t xml:space="preserve"> tuleb läbi viia kooskõlas majandus- ja taristuministri 03.07.2015 määrusega nr 87 „Küttegaasi kasutavale gaasipaigaldisele, selle ehitamisele ja gaasiseadme paigaldamisele ning gaasiballooni ladustamisele ja gaasianuma täitmisele esitatavad nõuded“. Kontrolli</w:t>
      </w:r>
      <w:r w:rsidR="0006480E">
        <w:t xml:space="preserve"> ja auditi</w:t>
      </w:r>
      <w:r>
        <w:t xml:space="preserve"> käigus tuleb koguda </w:t>
      </w:r>
      <w:r w:rsidR="00271A29">
        <w:t xml:space="preserve">Tellija poolt määratud </w:t>
      </w:r>
      <w:r>
        <w:t xml:space="preserve">nimekirjas toodud eluruumides gaasipaigaldiste, nendega seotud </w:t>
      </w:r>
      <w:proofErr w:type="spellStart"/>
      <w:r>
        <w:t>tehiolude</w:t>
      </w:r>
      <w:proofErr w:type="spellEnd"/>
      <w:r>
        <w:t xml:space="preserve"> andmed, mis tuleb esitada koondina Tellija poolt ette antud kujul. Kontrolli tulemuste koondi mall (MS Excel fail) ja kontrollitavate eluruumide nimekiri </w:t>
      </w:r>
      <w:r w:rsidR="00271A29">
        <w:t>sisalduvad</w:t>
      </w:r>
      <w:r>
        <w:t xml:space="preserve"> käesoleva Lepingu Lisas 1. </w:t>
      </w:r>
    </w:p>
    <w:p w14:paraId="16E6424C" w14:textId="77777777" w:rsidR="001A4789" w:rsidRDefault="001A4789" w:rsidP="001A4789">
      <w:pPr>
        <w:pStyle w:val="ListParagraph"/>
        <w:numPr>
          <w:ilvl w:val="1"/>
          <w:numId w:val="20"/>
        </w:numPr>
        <w:autoSpaceDN w:val="0"/>
        <w:spacing w:line="256" w:lineRule="auto"/>
        <w:jc w:val="both"/>
      </w:pPr>
      <w:r>
        <w:t>Töö alla kuuluvad kõik Lepingu täitmiseks vajalikud materjalid, toimingud ja tööde tegemine või teenuste osutamine, mida ei ole eraldi nimetatud, kuid mis oma olemuselt kuuluvad Töö hulka ning on vajalikud lepinguliste kohustuste nõuetekohaseks täitmiseks.</w:t>
      </w:r>
    </w:p>
    <w:p w14:paraId="1A8A0F37" w14:textId="77777777" w:rsidR="001A4789" w:rsidRDefault="001A4789" w:rsidP="001A4789">
      <w:pPr>
        <w:pStyle w:val="ListParagraph"/>
        <w:tabs>
          <w:tab w:val="left" w:pos="562"/>
        </w:tabs>
        <w:spacing w:before="80"/>
        <w:ind w:left="792" w:right="184"/>
        <w:jc w:val="both"/>
      </w:pPr>
    </w:p>
    <w:p w14:paraId="3D766DE6" w14:textId="77777777" w:rsidR="001A4789" w:rsidRDefault="001A4789" w:rsidP="001A4789">
      <w:pPr>
        <w:pStyle w:val="ListParagraph"/>
        <w:numPr>
          <w:ilvl w:val="0"/>
          <w:numId w:val="20"/>
        </w:numPr>
        <w:autoSpaceDN w:val="0"/>
        <w:spacing w:line="256" w:lineRule="auto"/>
        <w:jc w:val="both"/>
        <w:rPr>
          <w:b/>
          <w:bCs/>
        </w:rPr>
      </w:pPr>
      <w:r>
        <w:rPr>
          <w:b/>
          <w:bCs/>
        </w:rPr>
        <w:t xml:space="preserve">Töö läbiviimise tingimused </w:t>
      </w:r>
    </w:p>
    <w:p w14:paraId="0362DDE2" w14:textId="77777777" w:rsidR="001A4789" w:rsidRDefault="001A4789" w:rsidP="001A4789">
      <w:pPr>
        <w:pStyle w:val="ListParagraph"/>
        <w:numPr>
          <w:ilvl w:val="1"/>
          <w:numId w:val="20"/>
        </w:numPr>
        <w:autoSpaceDN w:val="0"/>
        <w:spacing w:line="256" w:lineRule="auto"/>
        <w:jc w:val="both"/>
      </w:pPr>
      <w:r>
        <w:t>Tellija:</w:t>
      </w:r>
    </w:p>
    <w:p w14:paraId="02E6EBF7" w14:textId="668C53A9" w:rsidR="001A4789" w:rsidRDefault="001A4789" w:rsidP="001A4789">
      <w:pPr>
        <w:pStyle w:val="ListParagraph"/>
        <w:numPr>
          <w:ilvl w:val="2"/>
          <w:numId w:val="20"/>
        </w:numPr>
        <w:autoSpaceDN w:val="0"/>
        <w:spacing w:line="256" w:lineRule="auto"/>
        <w:jc w:val="both"/>
      </w:pPr>
      <w:r>
        <w:t>esitab Töövõtjale Töö teostamiseks vajalikud andmed ja informatsiooni</w:t>
      </w:r>
      <w:r w:rsidR="00271A29">
        <w:t xml:space="preserve"> või korraldab neile juurdepääsu</w:t>
      </w:r>
      <w:r>
        <w:t>;</w:t>
      </w:r>
    </w:p>
    <w:p w14:paraId="6FF7136E" w14:textId="77777777" w:rsidR="001A4789" w:rsidRDefault="001A4789" w:rsidP="001A4789">
      <w:pPr>
        <w:pStyle w:val="ListParagraph"/>
        <w:numPr>
          <w:ilvl w:val="2"/>
          <w:numId w:val="20"/>
        </w:numPr>
        <w:autoSpaceDN w:val="0"/>
        <w:spacing w:line="256" w:lineRule="auto"/>
        <w:jc w:val="both"/>
      </w:pPr>
      <w:r>
        <w:t>teavitab Töövõtjat viivitamatult kirjalikku taasesitamist võimaldavas vormis kõikidest asjaoludest, mis võivad tingida Töös muudatuste tegemise;</w:t>
      </w:r>
    </w:p>
    <w:p w14:paraId="74B165B6" w14:textId="77777777" w:rsidR="001A4789" w:rsidRDefault="001A4789" w:rsidP="001A4789">
      <w:pPr>
        <w:pStyle w:val="ListParagraph"/>
        <w:numPr>
          <w:ilvl w:val="2"/>
          <w:numId w:val="20"/>
        </w:numPr>
        <w:autoSpaceDN w:val="0"/>
        <w:spacing w:line="256" w:lineRule="auto"/>
        <w:jc w:val="both"/>
      </w:pPr>
      <w:r>
        <w:lastRenderedPageBreak/>
        <w:t>võib vajadusel pöörduda kolmanda isiku poole sõltumatu eksperthinnangu saamiseks Töö kvaliteedi kohta.</w:t>
      </w:r>
    </w:p>
    <w:p w14:paraId="5497E689" w14:textId="77777777" w:rsidR="001A4789" w:rsidRDefault="001A4789" w:rsidP="001A4789">
      <w:pPr>
        <w:pStyle w:val="ListParagraph"/>
        <w:numPr>
          <w:ilvl w:val="1"/>
          <w:numId w:val="20"/>
        </w:numPr>
        <w:autoSpaceDN w:val="0"/>
        <w:spacing w:line="256" w:lineRule="auto"/>
        <w:jc w:val="both"/>
      </w:pPr>
      <w:r>
        <w:t>Töövõtja:</w:t>
      </w:r>
    </w:p>
    <w:p w14:paraId="6273F381" w14:textId="77777777" w:rsidR="001A4789" w:rsidRDefault="001A4789" w:rsidP="001A4789">
      <w:pPr>
        <w:pStyle w:val="ListParagraph"/>
        <w:numPr>
          <w:ilvl w:val="2"/>
          <w:numId w:val="20"/>
        </w:numPr>
        <w:autoSpaceDN w:val="0"/>
        <w:spacing w:line="256" w:lineRule="auto"/>
        <w:jc w:val="both"/>
      </w:pPr>
      <w:r>
        <w:t xml:space="preserve">esitab Töö Lisas 1 sisalduva koondtabelina punktis 4.1 sätestatud tähtajaks Tellija kontaktisikule; </w:t>
      </w:r>
    </w:p>
    <w:p w14:paraId="15517E9F" w14:textId="77777777" w:rsidR="001A4789" w:rsidRDefault="001A4789" w:rsidP="001A4789">
      <w:pPr>
        <w:pStyle w:val="ListParagraph"/>
        <w:numPr>
          <w:ilvl w:val="2"/>
          <w:numId w:val="20"/>
        </w:numPr>
        <w:autoSpaceDN w:val="0"/>
        <w:spacing w:line="256" w:lineRule="auto"/>
        <w:jc w:val="both"/>
      </w:pPr>
      <w:r>
        <w:t>teostab Töö professionaalselt ja nõuetekohaselt vastavalt Lepingu tingimustele, lähtudes Tellija poolt esitatud informatsioonist, juhistest ning lähteülesandest;</w:t>
      </w:r>
    </w:p>
    <w:p w14:paraId="72735CAC" w14:textId="77777777" w:rsidR="001A4789" w:rsidRDefault="001A4789" w:rsidP="001A4789">
      <w:pPr>
        <w:pStyle w:val="ListParagraph"/>
        <w:numPr>
          <w:ilvl w:val="2"/>
          <w:numId w:val="20"/>
        </w:numPr>
        <w:autoSpaceDN w:val="0"/>
        <w:spacing w:line="256" w:lineRule="auto"/>
        <w:jc w:val="both"/>
      </w:pPr>
      <w:r>
        <w:t>lubab Tellijal kontrollida Töö teostamise käiku ja esitab Tellija nõudmisel Töö teostamise kohta teavet;</w:t>
      </w:r>
    </w:p>
    <w:p w14:paraId="4EB71431" w14:textId="77777777" w:rsidR="001A4789" w:rsidRDefault="001A4789" w:rsidP="001A4789">
      <w:pPr>
        <w:pStyle w:val="ListParagraph"/>
        <w:numPr>
          <w:ilvl w:val="2"/>
          <w:numId w:val="20"/>
        </w:numPr>
        <w:autoSpaceDN w:val="0"/>
        <w:spacing w:line="256" w:lineRule="auto"/>
        <w:jc w:val="both"/>
      </w:pPr>
      <w:r>
        <w:t>kasutab Töö teostamisel oma töömeetodeid ja -vahendeid;</w:t>
      </w:r>
    </w:p>
    <w:p w14:paraId="608E703E" w14:textId="77777777" w:rsidR="001A4789" w:rsidRDefault="001A4789" w:rsidP="001A4789">
      <w:pPr>
        <w:pStyle w:val="ListParagraph"/>
        <w:numPr>
          <w:ilvl w:val="2"/>
          <w:numId w:val="20"/>
        </w:numPr>
        <w:autoSpaceDN w:val="0"/>
        <w:spacing w:line="256" w:lineRule="auto"/>
        <w:jc w:val="both"/>
      </w:pPr>
      <w:r>
        <w:t>teavitab Tellijat viivitamatult võimalikust viivitusest Töö teostamisel, samuti  muudest asjaoludest, mis võivad mõjutada või takistada Lepingus sätestatud kohustuste täitmist või õiguste realiseerimist;</w:t>
      </w:r>
    </w:p>
    <w:p w14:paraId="5374EF90" w14:textId="77777777" w:rsidR="001A4789" w:rsidRDefault="001A4789" w:rsidP="001A4789">
      <w:pPr>
        <w:pStyle w:val="ListParagraph"/>
        <w:numPr>
          <w:ilvl w:val="2"/>
          <w:numId w:val="20"/>
        </w:numPr>
        <w:autoSpaceDN w:val="0"/>
        <w:spacing w:line="256" w:lineRule="auto"/>
        <w:jc w:val="both"/>
      </w:pPr>
      <w:r>
        <w:t>teostab Tellija poolt sätestatud tähtajaks Tellija poolt nõutud parandused või esitab uue Töö, kui Töö või selle osa ei vasta Lepingule ning Tellija on esitanud vastavasisulised pretensioonid vastavalt punktile 4.3.</w:t>
      </w:r>
    </w:p>
    <w:p w14:paraId="48173683" w14:textId="77777777" w:rsidR="001A4789" w:rsidRDefault="001A4789" w:rsidP="001A4789">
      <w:pPr>
        <w:pStyle w:val="ListParagraph"/>
        <w:spacing w:line="256" w:lineRule="auto"/>
        <w:ind w:left="1224"/>
        <w:jc w:val="both"/>
      </w:pPr>
    </w:p>
    <w:p w14:paraId="3D931934" w14:textId="77777777" w:rsidR="001A4789" w:rsidRDefault="001A4789" w:rsidP="001A4789">
      <w:pPr>
        <w:pStyle w:val="ListParagraph"/>
        <w:widowControl w:val="0"/>
        <w:numPr>
          <w:ilvl w:val="0"/>
          <w:numId w:val="20"/>
        </w:numPr>
        <w:tabs>
          <w:tab w:val="left" w:pos="562"/>
        </w:tabs>
        <w:autoSpaceDE w:val="0"/>
        <w:autoSpaceDN w:val="0"/>
        <w:spacing w:before="80"/>
        <w:ind w:right="184"/>
        <w:contextualSpacing w:val="0"/>
        <w:jc w:val="both"/>
        <w:rPr>
          <w:b/>
          <w:bCs/>
        </w:rPr>
      </w:pPr>
      <w:r>
        <w:rPr>
          <w:b/>
          <w:bCs/>
        </w:rPr>
        <w:t>Töö üleandmine ja vastuvõtmine</w:t>
      </w:r>
    </w:p>
    <w:p w14:paraId="4F3AC305" w14:textId="6B3738F0" w:rsidR="001A4789" w:rsidRDefault="001A4789" w:rsidP="001A4789">
      <w:pPr>
        <w:pStyle w:val="ListParagraph"/>
        <w:numPr>
          <w:ilvl w:val="1"/>
          <w:numId w:val="20"/>
        </w:numPr>
        <w:autoSpaceDN w:val="0"/>
        <w:spacing w:line="256" w:lineRule="auto"/>
        <w:jc w:val="both"/>
      </w:pPr>
      <w:r>
        <w:t xml:space="preserve">Töö Tellijale üleandmise tähtaeg on </w:t>
      </w:r>
      <w:r w:rsidR="0006480E">
        <w:t>27</w:t>
      </w:r>
      <w:r>
        <w:t>.</w:t>
      </w:r>
      <w:r w:rsidR="0006480E">
        <w:t>12</w:t>
      </w:r>
      <w:r>
        <w:t>.202</w:t>
      </w:r>
      <w:r w:rsidR="00C031DE">
        <w:t>5</w:t>
      </w:r>
      <w:r>
        <w:t xml:space="preserve">.a. </w:t>
      </w:r>
    </w:p>
    <w:p w14:paraId="1C587C92" w14:textId="50B462B2" w:rsidR="001A4789" w:rsidRDefault="001A4789" w:rsidP="001A4789">
      <w:pPr>
        <w:pStyle w:val="ListParagraph"/>
        <w:numPr>
          <w:ilvl w:val="1"/>
          <w:numId w:val="20"/>
        </w:numPr>
        <w:autoSpaceDN w:val="0"/>
        <w:spacing w:line="256" w:lineRule="auto"/>
        <w:jc w:val="both"/>
      </w:pPr>
      <w:r>
        <w:t xml:space="preserve">Tellija vaatab Töövõtja poolt esitatud Töö üle </w:t>
      </w:r>
      <w:r w:rsidR="00271A29">
        <w:t>2</w:t>
      </w:r>
      <w:r>
        <w:t xml:space="preserve"> (</w:t>
      </w:r>
      <w:r w:rsidR="00271A29">
        <w:t>kahe</w:t>
      </w:r>
      <w:r>
        <w:t xml:space="preserve">) tööpäeva jooksul arvates Töö esitamisest Tellijale. Kui Töö vastab käesoleva Lepingu tingimustele, võtab Tellija Töö vastu, ning teavitab sellest e-kirja teel Töövõtja kontaktisikut. Juhul, kui Tellija ei ole esitanud Töövõtjale kirjalikke pretensioone </w:t>
      </w:r>
      <w:r w:rsidR="0006480E">
        <w:t>2</w:t>
      </w:r>
      <w:r>
        <w:t xml:space="preserve"> (</w:t>
      </w:r>
      <w:r w:rsidR="0006480E">
        <w:t>kahe</w:t>
      </w:r>
      <w:r>
        <w:t>) tööpäeva jooksul arvates Töö Tellijale esitamise päevast, on Töövõtja õigustatud lugema Töö vastuvõetuks.</w:t>
      </w:r>
    </w:p>
    <w:p w14:paraId="09AFBA25" w14:textId="77777777" w:rsidR="001A4789" w:rsidRDefault="001A4789" w:rsidP="001A4789">
      <w:pPr>
        <w:pStyle w:val="ListParagraph"/>
        <w:numPr>
          <w:ilvl w:val="1"/>
          <w:numId w:val="20"/>
        </w:numPr>
        <w:autoSpaceDN w:val="0"/>
        <w:spacing w:line="256" w:lineRule="auto"/>
        <w:jc w:val="both"/>
      </w:pPr>
      <w:r>
        <w:t>Juhul, kui Tellijal on pretensioone Töö kvaliteedi või Lepingu tingimustele vastavuse osas, teavitab ta sellest Töövõtjat e-kirja teel ning osutab konkreetsele puudusele Töös ja määrab mõistliku tähtaja puuduse kõrvaldamiseks või uue, Lepingu tingimustele vastava Töö esitamiseks. Pärast puuduste ja vigade likvideerimist vaatab Tellija Töö üle vastavalt punktile 4.2.</w:t>
      </w:r>
    </w:p>
    <w:p w14:paraId="3584CD65" w14:textId="77777777" w:rsidR="001A4789" w:rsidRDefault="001A4789" w:rsidP="001A4789">
      <w:pPr>
        <w:pStyle w:val="ListParagraph"/>
        <w:numPr>
          <w:ilvl w:val="1"/>
          <w:numId w:val="20"/>
        </w:numPr>
        <w:autoSpaceDN w:val="0"/>
        <w:spacing w:line="256" w:lineRule="auto"/>
        <w:jc w:val="both"/>
      </w:pPr>
      <w:r>
        <w:t>Tellija poolt vastuvõetud Töö on aluseks Töövõtjale arve esitamiseks.</w:t>
      </w:r>
    </w:p>
    <w:p w14:paraId="42C87F1F" w14:textId="77777777" w:rsidR="001A4789" w:rsidRDefault="001A4789" w:rsidP="001A4789">
      <w:pPr>
        <w:pStyle w:val="ListParagraph"/>
        <w:spacing w:line="256" w:lineRule="auto"/>
        <w:ind w:left="792"/>
        <w:jc w:val="both"/>
      </w:pPr>
    </w:p>
    <w:p w14:paraId="20C1A387" w14:textId="77777777" w:rsidR="001A4789" w:rsidRDefault="001A4789" w:rsidP="001A4789">
      <w:pPr>
        <w:pStyle w:val="ListParagraph"/>
        <w:numPr>
          <w:ilvl w:val="0"/>
          <w:numId w:val="20"/>
        </w:numPr>
        <w:autoSpaceDN w:val="0"/>
        <w:spacing w:line="256" w:lineRule="auto"/>
        <w:jc w:val="both"/>
        <w:rPr>
          <w:b/>
          <w:bCs/>
        </w:rPr>
      </w:pPr>
      <w:r>
        <w:rPr>
          <w:b/>
          <w:bCs/>
        </w:rPr>
        <w:t>Tasu suurus, väljamaksmise tähtaeg ja kord</w:t>
      </w:r>
    </w:p>
    <w:p w14:paraId="3FAB2EA9" w14:textId="41212985" w:rsidR="001A4789" w:rsidRDefault="001A4789" w:rsidP="001A4789">
      <w:pPr>
        <w:pStyle w:val="ListParagraph"/>
        <w:numPr>
          <w:ilvl w:val="1"/>
          <w:numId w:val="20"/>
        </w:numPr>
        <w:autoSpaceDN w:val="0"/>
        <w:spacing w:line="256" w:lineRule="auto"/>
        <w:jc w:val="both"/>
      </w:pPr>
      <w:r>
        <w:t xml:space="preserve">Tellija tasub Töövõtjale Lepingu tingimustele vastava Töö eest tasu vastavalt tehtud Töö mahule ning pakkumusele </w:t>
      </w:r>
      <w:r w:rsidR="00271A29">
        <w:t>...</w:t>
      </w:r>
      <w:r>
        <w:t xml:space="preserve"> eurot kontrollitava objekti (eluruumi) kohta, kuid mitte rohkem kui </w:t>
      </w:r>
      <w:r w:rsidR="0006480E">
        <w:t xml:space="preserve">10000 </w:t>
      </w:r>
      <w:r>
        <w:t>eurot kõikide objekti</w:t>
      </w:r>
      <w:r w:rsidR="0006480E">
        <w:t>de</w:t>
      </w:r>
      <w:r>
        <w:t xml:space="preserve"> eest (edaspidi Tasu). Summale lisandub käibemaks.</w:t>
      </w:r>
    </w:p>
    <w:p w14:paraId="2529E136" w14:textId="77777777" w:rsidR="001A4789" w:rsidRDefault="001A4789" w:rsidP="001A4789">
      <w:pPr>
        <w:pStyle w:val="ListParagraph"/>
        <w:widowControl w:val="0"/>
        <w:numPr>
          <w:ilvl w:val="1"/>
          <w:numId w:val="20"/>
        </w:numPr>
        <w:autoSpaceDE w:val="0"/>
        <w:autoSpaceDN w:val="0"/>
        <w:contextualSpacing w:val="0"/>
        <w:jc w:val="both"/>
      </w:pPr>
      <w:r>
        <w:t>Töövõtja esitab pärast Tellija poolt Töö vastuvõtmist Tellijale e-arve masintöödeldaval kujul vastavalt kehtivale e-arve standardile. Arvele märgitakse Tellija dokumendiregistris registreeritud Lepingu number ja Lepingus nimetatud Tellija kontaktisik. Arve tasumise tähtaeg on 21 kalendripäeva.</w:t>
      </w:r>
    </w:p>
    <w:p w14:paraId="52B1A9F6" w14:textId="77777777" w:rsidR="001A4789" w:rsidRDefault="001A4789" w:rsidP="001A4789">
      <w:pPr>
        <w:pStyle w:val="ListParagraph"/>
        <w:widowControl w:val="0"/>
        <w:numPr>
          <w:ilvl w:val="1"/>
          <w:numId w:val="20"/>
        </w:numPr>
        <w:autoSpaceDE w:val="0"/>
        <w:autoSpaceDN w:val="0"/>
        <w:contextualSpacing w:val="0"/>
        <w:jc w:val="both"/>
      </w:pPr>
      <w:r>
        <w:t xml:space="preserve">Punktis 5.1. sätestatud Tasu on ainus Töövõtja tasu käesoleva Lepingu täitmise eest. Tellija ei aktsepteeri lisakulutusi, mille osas Pooled ei ole eelnevalt kirjalikult kokku leppinud. </w:t>
      </w:r>
    </w:p>
    <w:p w14:paraId="04D217F0" w14:textId="77777777" w:rsidR="001A4789" w:rsidRDefault="001A4789" w:rsidP="001A4789">
      <w:pPr>
        <w:pStyle w:val="ListParagraph"/>
        <w:ind w:left="792"/>
        <w:jc w:val="both"/>
      </w:pPr>
    </w:p>
    <w:p w14:paraId="0AED164D" w14:textId="77777777" w:rsidR="001A4789" w:rsidRDefault="001A4789" w:rsidP="001A4789">
      <w:pPr>
        <w:pStyle w:val="ListParagraph"/>
        <w:widowControl w:val="0"/>
        <w:numPr>
          <w:ilvl w:val="0"/>
          <w:numId w:val="20"/>
        </w:numPr>
        <w:autoSpaceDE w:val="0"/>
        <w:autoSpaceDN w:val="0"/>
        <w:contextualSpacing w:val="0"/>
        <w:jc w:val="both"/>
        <w:rPr>
          <w:b/>
          <w:bCs/>
        </w:rPr>
      </w:pPr>
      <w:r>
        <w:rPr>
          <w:b/>
          <w:bCs/>
        </w:rPr>
        <w:t>Konfidentsiaalsus ja isikuandmete töötlemine</w:t>
      </w:r>
    </w:p>
    <w:p w14:paraId="447D3FB8" w14:textId="77777777" w:rsidR="001A4789" w:rsidRDefault="001A4789" w:rsidP="001A4789">
      <w:pPr>
        <w:pStyle w:val="ListParagraph"/>
        <w:widowControl w:val="0"/>
        <w:numPr>
          <w:ilvl w:val="1"/>
          <w:numId w:val="20"/>
        </w:numPr>
        <w:autoSpaceDE w:val="0"/>
        <w:autoSpaceDN w:val="0"/>
        <w:contextualSpacing w:val="0"/>
        <w:jc w:val="both"/>
      </w:pPr>
      <w:r>
        <w:t xml:space="preserve">Pooled on kohustatud Lepingu kehtivuse ajal ning tähtajatult pärast Lepingu lõppemist  mitte </w:t>
      </w:r>
      <w:r>
        <w:lastRenderedPageBreak/>
        <w:t>avaldama üksteist puudutavat ega Lepingu täitmise käigus saadud konfidentsiaalset infot. 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Kahtluse korral eeldatakse informatsiooni konfidentsiaalsust.</w:t>
      </w:r>
    </w:p>
    <w:p w14:paraId="14025515" w14:textId="77777777" w:rsidR="001A4789" w:rsidRDefault="001A4789" w:rsidP="001A4789">
      <w:pPr>
        <w:pStyle w:val="ListParagraph"/>
        <w:widowControl w:val="0"/>
        <w:numPr>
          <w:ilvl w:val="1"/>
          <w:numId w:val="20"/>
        </w:numPr>
        <w:autoSpaceDE w:val="0"/>
        <w:autoSpaceDN w:val="0"/>
        <w:contextualSpacing w:val="0"/>
        <w:jc w:val="both"/>
      </w:pPr>
      <w:r>
        <w:t>Pooled ei loe konfidentsiaalseks infot, mis on avalikustatud juba enne selle andmist teisele Poolele või mis avalikustatakse Pooltest sõltumatult, välja arvatud juhul, kui Poolel on võimalik avalikustamist ära hoida.</w:t>
      </w:r>
    </w:p>
    <w:p w14:paraId="3886B4EF" w14:textId="77777777" w:rsidR="001A4789" w:rsidRDefault="001A4789" w:rsidP="001A4789">
      <w:pPr>
        <w:pStyle w:val="ListParagraph"/>
        <w:widowControl w:val="0"/>
        <w:numPr>
          <w:ilvl w:val="1"/>
          <w:numId w:val="20"/>
        </w:numPr>
        <w:autoSpaceDE w:val="0"/>
        <w:autoSpaceDN w:val="0"/>
        <w:contextualSpacing w:val="0"/>
        <w:jc w:val="both"/>
      </w:pPr>
      <w:r>
        <w:t xml:space="preserve">Pooled kohustuvad kasutama konfidentsiaalset informatsiooni üksnes Lepingu kehtivuse ajal ning vastavalt Lepingus sätestatule. Pool tohib konfidentsiaalse informatsiooniga tutvumist võimaldada ainult sellistele isikutele, kellele konfidentsiaalse informatsiooni avaldamine on vajalik Lepingu täitmiseks ja kellega on sõlmitud konfidentsiaalsusleping, või kui konfidentsiaalse informatsiooni avaldamise kohustus tuleneb seadusest. </w:t>
      </w:r>
    </w:p>
    <w:p w14:paraId="22D81868" w14:textId="77777777" w:rsidR="001A4789" w:rsidRDefault="001A4789" w:rsidP="001A4789">
      <w:pPr>
        <w:pStyle w:val="ListParagraph"/>
        <w:widowControl w:val="0"/>
        <w:numPr>
          <w:ilvl w:val="1"/>
          <w:numId w:val="20"/>
        </w:numPr>
        <w:autoSpaceDE w:val="0"/>
        <w:autoSpaceDN w:val="0"/>
        <w:contextualSpacing w:val="0"/>
        <w:jc w:val="both"/>
      </w:pPr>
      <w:r>
        <w:t xml:space="preserve">Pooled toimivad isikuandmete käsitlemisel vastavalt EL isikuandmete kaitse üldmäärusele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üldmääruse artiklis 32 sätestatud isikuandmete turvalisuse tagamise meetmeid, tagamaks konfidentsiaalse info kaitse. Vastavasisulise nõude saamisel teeb Pool mõistliku aja jooksul teisele Poolele kättesaadavaks kogu teabe, mis on vajalik tõendamaks asjakohaste tehniliste ja korralduslike meetmete rakendamist. </w:t>
      </w:r>
    </w:p>
    <w:p w14:paraId="4C2432FD" w14:textId="77777777" w:rsidR="003A1758" w:rsidRPr="00F278FA" w:rsidRDefault="003A1758" w:rsidP="003A1758">
      <w:pPr>
        <w:pStyle w:val="ListParagraph"/>
        <w:widowControl w:val="0"/>
        <w:numPr>
          <w:ilvl w:val="1"/>
          <w:numId w:val="20"/>
        </w:numPr>
        <w:autoSpaceDE w:val="0"/>
        <w:autoSpaceDN w:val="0"/>
        <w:contextualSpacing w:val="0"/>
        <w:jc w:val="both"/>
      </w:pPr>
      <w:proofErr w:type="spellStart"/>
      <w:r w:rsidRPr="00F278FA">
        <w:rPr>
          <w:lang w:val="en-GB"/>
        </w:rPr>
        <w:t>Töövõtja</w:t>
      </w:r>
      <w:proofErr w:type="spellEnd"/>
      <w:r w:rsidRPr="00F278FA">
        <w:rPr>
          <w:lang w:val="en-GB"/>
        </w:rPr>
        <w:t xml:space="preserve"> </w:t>
      </w:r>
      <w:proofErr w:type="spellStart"/>
      <w:r w:rsidRPr="00F278FA">
        <w:rPr>
          <w:lang w:val="en-GB"/>
        </w:rPr>
        <w:t>kinnitab</w:t>
      </w:r>
      <w:proofErr w:type="spellEnd"/>
      <w:r w:rsidRPr="00F278FA">
        <w:rPr>
          <w:lang w:val="en-GB"/>
        </w:rPr>
        <w:t xml:space="preserve">, et </w:t>
      </w:r>
      <w:proofErr w:type="spellStart"/>
      <w:r w:rsidRPr="00F278FA">
        <w:rPr>
          <w:lang w:val="en-GB"/>
        </w:rPr>
        <w:t>Lepingu</w:t>
      </w:r>
      <w:proofErr w:type="spellEnd"/>
      <w:r w:rsidRPr="00F278FA">
        <w:rPr>
          <w:lang w:val="en-GB"/>
        </w:rPr>
        <w:t xml:space="preserve"> </w:t>
      </w:r>
      <w:proofErr w:type="spellStart"/>
      <w:r w:rsidRPr="00F278FA">
        <w:rPr>
          <w:lang w:val="en-GB"/>
        </w:rPr>
        <w:t>lõppemise</w:t>
      </w:r>
      <w:proofErr w:type="spellEnd"/>
      <w:r w:rsidRPr="00F278FA">
        <w:rPr>
          <w:lang w:val="en-GB"/>
        </w:rPr>
        <w:t xml:space="preserve"> </w:t>
      </w:r>
      <w:proofErr w:type="spellStart"/>
      <w:r w:rsidRPr="00F278FA">
        <w:rPr>
          <w:lang w:val="en-GB"/>
        </w:rPr>
        <w:t>järgselt</w:t>
      </w:r>
      <w:proofErr w:type="spellEnd"/>
      <w:r w:rsidRPr="00F278FA">
        <w:rPr>
          <w:lang w:val="en-GB"/>
        </w:rPr>
        <w:t xml:space="preserve"> </w:t>
      </w:r>
      <w:proofErr w:type="spellStart"/>
      <w:r w:rsidRPr="00F278FA">
        <w:rPr>
          <w:lang w:val="en-GB"/>
        </w:rPr>
        <w:t>kohustub</w:t>
      </w:r>
      <w:proofErr w:type="spellEnd"/>
      <w:r w:rsidRPr="00F278FA">
        <w:rPr>
          <w:lang w:val="en-GB"/>
        </w:rPr>
        <w:t xml:space="preserve"> ta </w:t>
      </w:r>
      <w:proofErr w:type="spellStart"/>
      <w:r w:rsidRPr="00F278FA">
        <w:rPr>
          <w:lang w:val="en-GB"/>
        </w:rPr>
        <w:t>viivitamatult</w:t>
      </w:r>
      <w:proofErr w:type="spellEnd"/>
      <w:r w:rsidRPr="00F278FA">
        <w:rPr>
          <w:lang w:val="en-GB"/>
        </w:rPr>
        <w:t xml:space="preserve"> </w:t>
      </w:r>
      <w:proofErr w:type="spellStart"/>
      <w:r w:rsidRPr="00F278FA">
        <w:rPr>
          <w:lang w:val="en-GB"/>
        </w:rPr>
        <w:t>kustutama</w:t>
      </w:r>
      <w:proofErr w:type="spellEnd"/>
      <w:r w:rsidRPr="00F278FA">
        <w:rPr>
          <w:lang w:val="en-GB"/>
        </w:rPr>
        <w:t>/</w:t>
      </w:r>
      <w:proofErr w:type="spellStart"/>
      <w:r w:rsidRPr="00F278FA">
        <w:rPr>
          <w:lang w:val="en-GB"/>
        </w:rPr>
        <w:t>hävitama</w:t>
      </w:r>
      <w:proofErr w:type="spellEnd"/>
      <w:r w:rsidRPr="00F278FA">
        <w:rPr>
          <w:lang w:val="en-GB"/>
        </w:rPr>
        <w:t xml:space="preserve"> </w:t>
      </w:r>
      <w:proofErr w:type="spellStart"/>
      <w:r w:rsidRPr="00F278FA">
        <w:rPr>
          <w:lang w:val="en-GB"/>
        </w:rPr>
        <w:t>Töö</w:t>
      </w:r>
      <w:proofErr w:type="spellEnd"/>
      <w:r w:rsidRPr="00F278FA">
        <w:rPr>
          <w:lang w:val="en-GB"/>
        </w:rPr>
        <w:t xml:space="preserve"> </w:t>
      </w:r>
      <w:proofErr w:type="spellStart"/>
      <w:r w:rsidRPr="00F278FA">
        <w:rPr>
          <w:lang w:val="en-GB"/>
        </w:rPr>
        <w:t>teostamise</w:t>
      </w:r>
      <w:proofErr w:type="spellEnd"/>
      <w:r w:rsidRPr="00F278FA">
        <w:rPr>
          <w:lang w:val="en-GB"/>
        </w:rPr>
        <w:t xml:space="preserve"> </w:t>
      </w:r>
      <w:proofErr w:type="spellStart"/>
      <w:r w:rsidRPr="00F278FA">
        <w:rPr>
          <w:lang w:val="en-GB"/>
        </w:rPr>
        <w:t>käigus</w:t>
      </w:r>
      <w:proofErr w:type="spellEnd"/>
      <w:r w:rsidRPr="00F278FA">
        <w:rPr>
          <w:lang w:val="en-GB"/>
        </w:rPr>
        <w:t xml:space="preserve"> </w:t>
      </w:r>
      <w:proofErr w:type="spellStart"/>
      <w:r w:rsidRPr="00F278FA">
        <w:rPr>
          <w:lang w:val="en-GB"/>
        </w:rPr>
        <w:t>teatavaks</w:t>
      </w:r>
      <w:proofErr w:type="spellEnd"/>
      <w:r w:rsidRPr="00F278FA">
        <w:rPr>
          <w:lang w:val="en-GB"/>
        </w:rPr>
        <w:t xml:space="preserve"> </w:t>
      </w:r>
      <w:proofErr w:type="spellStart"/>
      <w:r w:rsidRPr="00F278FA">
        <w:rPr>
          <w:lang w:val="en-GB"/>
        </w:rPr>
        <w:t>saanud</w:t>
      </w:r>
      <w:proofErr w:type="spellEnd"/>
      <w:r w:rsidRPr="00F278FA">
        <w:rPr>
          <w:lang w:val="en-GB"/>
        </w:rPr>
        <w:t xml:space="preserve"> </w:t>
      </w:r>
      <w:proofErr w:type="spellStart"/>
      <w:r w:rsidRPr="00F278FA">
        <w:rPr>
          <w:lang w:val="en-GB"/>
        </w:rPr>
        <w:t>konfidentsiaalse</w:t>
      </w:r>
      <w:proofErr w:type="spellEnd"/>
      <w:r w:rsidRPr="00F278FA">
        <w:rPr>
          <w:lang w:val="en-GB"/>
        </w:rPr>
        <w:t xml:space="preserve"> </w:t>
      </w:r>
      <w:proofErr w:type="spellStart"/>
      <w:r w:rsidRPr="00F278FA">
        <w:rPr>
          <w:lang w:val="en-GB"/>
        </w:rPr>
        <w:t>informatsiooni</w:t>
      </w:r>
      <w:proofErr w:type="spellEnd"/>
      <w:r w:rsidRPr="00F278FA">
        <w:rPr>
          <w:lang w:val="en-GB"/>
        </w:rPr>
        <w:t xml:space="preserve"> </w:t>
      </w:r>
      <w:proofErr w:type="spellStart"/>
      <w:r w:rsidRPr="00F278FA">
        <w:rPr>
          <w:lang w:val="en-GB"/>
        </w:rPr>
        <w:t>ning</w:t>
      </w:r>
      <w:proofErr w:type="spellEnd"/>
      <w:r w:rsidRPr="00F278FA">
        <w:rPr>
          <w:lang w:val="en-GB"/>
        </w:rPr>
        <w:t xml:space="preserve"> </w:t>
      </w:r>
      <w:proofErr w:type="spellStart"/>
      <w:r w:rsidRPr="00F278FA">
        <w:rPr>
          <w:lang w:val="en-GB"/>
        </w:rPr>
        <w:t>Töövõtja</w:t>
      </w:r>
      <w:proofErr w:type="spellEnd"/>
      <w:r w:rsidRPr="00F278FA">
        <w:rPr>
          <w:lang w:val="en-GB"/>
        </w:rPr>
        <w:t xml:space="preserve"> </w:t>
      </w:r>
      <w:proofErr w:type="spellStart"/>
      <w:r w:rsidRPr="00F278FA">
        <w:rPr>
          <w:lang w:val="en-GB"/>
        </w:rPr>
        <w:t>ei</w:t>
      </w:r>
      <w:proofErr w:type="spellEnd"/>
      <w:r w:rsidRPr="00F278FA">
        <w:rPr>
          <w:lang w:val="en-GB"/>
        </w:rPr>
        <w:t xml:space="preserve"> tohi </w:t>
      </w:r>
      <w:proofErr w:type="spellStart"/>
      <w:r w:rsidRPr="00F278FA">
        <w:rPr>
          <w:lang w:val="en-GB"/>
        </w:rPr>
        <w:t>neid</w:t>
      </w:r>
      <w:proofErr w:type="spellEnd"/>
      <w:r w:rsidRPr="00F278FA">
        <w:rPr>
          <w:lang w:val="en-GB"/>
        </w:rPr>
        <w:t xml:space="preserve"> </w:t>
      </w:r>
      <w:proofErr w:type="spellStart"/>
      <w:r w:rsidRPr="00F278FA">
        <w:rPr>
          <w:lang w:val="en-GB"/>
        </w:rPr>
        <w:t>üle</w:t>
      </w:r>
      <w:proofErr w:type="spellEnd"/>
      <w:r w:rsidRPr="00F278FA">
        <w:rPr>
          <w:lang w:val="en-GB"/>
        </w:rPr>
        <w:t xml:space="preserve"> </w:t>
      </w:r>
      <w:proofErr w:type="spellStart"/>
      <w:r w:rsidRPr="00F278FA">
        <w:rPr>
          <w:lang w:val="en-GB"/>
        </w:rPr>
        <w:t>anda</w:t>
      </w:r>
      <w:proofErr w:type="spellEnd"/>
      <w:r w:rsidRPr="00F278FA">
        <w:rPr>
          <w:lang w:val="en-GB"/>
        </w:rPr>
        <w:t xml:space="preserve"> </w:t>
      </w:r>
      <w:proofErr w:type="spellStart"/>
      <w:r w:rsidRPr="00F278FA">
        <w:rPr>
          <w:lang w:val="en-GB"/>
        </w:rPr>
        <w:t>kolmandatele</w:t>
      </w:r>
      <w:proofErr w:type="spellEnd"/>
      <w:r w:rsidRPr="00F278FA">
        <w:rPr>
          <w:lang w:val="en-GB"/>
        </w:rPr>
        <w:t xml:space="preserve"> </w:t>
      </w:r>
      <w:proofErr w:type="spellStart"/>
      <w:r w:rsidRPr="00F278FA">
        <w:rPr>
          <w:lang w:val="en-GB"/>
        </w:rPr>
        <w:t>isikutele</w:t>
      </w:r>
      <w:proofErr w:type="spellEnd"/>
      <w:r w:rsidRPr="00F278FA">
        <w:rPr>
          <w:lang w:val="en-GB"/>
        </w:rPr>
        <w:t xml:space="preserve">, </w:t>
      </w:r>
      <w:proofErr w:type="spellStart"/>
      <w:r w:rsidRPr="00F278FA">
        <w:rPr>
          <w:lang w:val="en-GB"/>
        </w:rPr>
        <w:t>välja</w:t>
      </w:r>
      <w:proofErr w:type="spellEnd"/>
      <w:r w:rsidRPr="00F278FA">
        <w:rPr>
          <w:lang w:val="en-GB"/>
        </w:rPr>
        <w:t xml:space="preserve"> </w:t>
      </w:r>
      <w:proofErr w:type="spellStart"/>
      <w:r w:rsidRPr="00F278FA">
        <w:rPr>
          <w:lang w:val="en-GB"/>
        </w:rPr>
        <w:t>arvatud</w:t>
      </w:r>
      <w:proofErr w:type="spellEnd"/>
      <w:r w:rsidRPr="00F278FA">
        <w:rPr>
          <w:lang w:val="en-GB"/>
        </w:rPr>
        <w:t xml:space="preserve"> </w:t>
      </w:r>
      <w:proofErr w:type="spellStart"/>
      <w:r w:rsidRPr="00F278FA">
        <w:rPr>
          <w:lang w:val="en-GB"/>
        </w:rPr>
        <w:t>kui</w:t>
      </w:r>
      <w:proofErr w:type="spellEnd"/>
      <w:r w:rsidRPr="00F278FA">
        <w:rPr>
          <w:lang w:val="en-GB"/>
        </w:rPr>
        <w:t xml:space="preserve"> </w:t>
      </w:r>
      <w:proofErr w:type="spellStart"/>
      <w:r w:rsidRPr="00F278FA">
        <w:rPr>
          <w:lang w:val="en-GB"/>
        </w:rPr>
        <w:t>informatsiooni</w:t>
      </w:r>
      <w:proofErr w:type="spellEnd"/>
      <w:r w:rsidRPr="00F278FA">
        <w:rPr>
          <w:lang w:val="en-GB"/>
        </w:rPr>
        <w:t xml:space="preserve"> </w:t>
      </w:r>
      <w:proofErr w:type="spellStart"/>
      <w:r w:rsidRPr="00F278FA">
        <w:rPr>
          <w:lang w:val="en-GB"/>
        </w:rPr>
        <w:t>talletamise</w:t>
      </w:r>
      <w:proofErr w:type="spellEnd"/>
      <w:r w:rsidRPr="00F278FA">
        <w:rPr>
          <w:lang w:val="en-GB"/>
        </w:rPr>
        <w:t xml:space="preserve"> </w:t>
      </w:r>
      <w:proofErr w:type="spellStart"/>
      <w:r w:rsidRPr="00F278FA">
        <w:rPr>
          <w:lang w:val="en-GB"/>
        </w:rPr>
        <w:t>ja</w:t>
      </w:r>
      <w:proofErr w:type="spellEnd"/>
      <w:r w:rsidRPr="00F278FA">
        <w:rPr>
          <w:lang w:val="en-GB"/>
        </w:rPr>
        <w:t>/</w:t>
      </w:r>
      <w:proofErr w:type="spellStart"/>
      <w:r w:rsidRPr="00F278FA">
        <w:rPr>
          <w:lang w:val="en-GB"/>
        </w:rPr>
        <w:t>või</w:t>
      </w:r>
      <w:proofErr w:type="spellEnd"/>
      <w:r w:rsidRPr="00F278FA">
        <w:rPr>
          <w:lang w:val="en-GB"/>
        </w:rPr>
        <w:t xml:space="preserve"> </w:t>
      </w:r>
      <w:proofErr w:type="spellStart"/>
      <w:r w:rsidRPr="00F278FA">
        <w:rPr>
          <w:lang w:val="en-GB"/>
        </w:rPr>
        <w:t>avaldamise</w:t>
      </w:r>
      <w:proofErr w:type="spellEnd"/>
      <w:r w:rsidRPr="00F278FA">
        <w:rPr>
          <w:lang w:val="en-GB"/>
        </w:rPr>
        <w:t xml:space="preserve"> </w:t>
      </w:r>
      <w:proofErr w:type="spellStart"/>
      <w:r w:rsidRPr="00F278FA">
        <w:rPr>
          <w:lang w:val="en-GB"/>
        </w:rPr>
        <w:t>kohustus</w:t>
      </w:r>
      <w:proofErr w:type="spellEnd"/>
      <w:r w:rsidRPr="00F278FA">
        <w:rPr>
          <w:lang w:val="en-GB"/>
        </w:rPr>
        <w:t xml:space="preserve"> </w:t>
      </w:r>
      <w:proofErr w:type="spellStart"/>
      <w:r w:rsidRPr="00F278FA">
        <w:rPr>
          <w:lang w:val="en-GB"/>
        </w:rPr>
        <w:t>tuleneb</w:t>
      </w:r>
      <w:proofErr w:type="spellEnd"/>
      <w:r w:rsidRPr="00F278FA">
        <w:rPr>
          <w:lang w:val="en-GB"/>
        </w:rPr>
        <w:t xml:space="preserve"> </w:t>
      </w:r>
      <w:proofErr w:type="spellStart"/>
      <w:r w:rsidRPr="00F278FA">
        <w:rPr>
          <w:lang w:val="en-GB"/>
        </w:rPr>
        <w:t>seadusest</w:t>
      </w:r>
      <w:proofErr w:type="spellEnd"/>
      <w:r w:rsidRPr="00F278FA">
        <w:rPr>
          <w:lang w:val="en-GB"/>
        </w:rPr>
        <w:t xml:space="preserve">. </w:t>
      </w:r>
    </w:p>
    <w:p w14:paraId="572D109E" w14:textId="77777777" w:rsidR="001A4789" w:rsidRDefault="001A4789" w:rsidP="001A4789">
      <w:pPr>
        <w:jc w:val="both"/>
      </w:pPr>
    </w:p>
    <w:p w14:paraId="76E35822" w14:textId="77777777" w:rsidR="001A4789" w:rsidRDefault="001A4789" w:rsidP="001A4789">
      <w:pPr>
        <w:pStyle w:val="ListParagraph"/>
        <w:numPr>
          <w:ilvl w:val="0"/>
          <w:numId w:val="20"/>
        </w:numPr>
        <w:autoSpaceDN w:val="0"/>
        <w:spacing w:after="160" w:line="256" w:lineRule="auto"/>
        <w:jc w:val="both"/>
        <w:rPr>
          <w:b/>
          <w:bCs/>
        </w:rPr>
      </w:pPr>
      <w:r>
        <w:rPr>
          <w:b/>
          <w:bCs/>
        </w:rPr>
        <w:t xml:space="preserve">Vastutus </w:t>
      </w:r>
    </w:p>
    <w:p w14:paraId="7E946703" w14:textId="77777777" w:rsidR="003A1758" w:rsidRPr="00F278FA" w:rsidRDefault="003A1758" w:rsidP="003A1758">
      <w:pPr>
        <w:pStyle w:val="ListParagraph"/>
        <w:widowControl w:val="0"/>
        <w:numPr>
          <w:ilvl w:val="1"/>
          <w:numId w:val="20"/>
        </w:numPr>
        <w:autoSpaceDE w:val="0"/>
        <w:autoSpaceDN w:val="0"/>
        <w:contextualSpacing w:val="0"/>
        <w:jc w:val="both"/>
      </w:pPr>
      <w:r w:rsidRPr="00F278FA">
        <w:t xml:space="preserve">Lepingust tulenevate kohustuste täitmata jätmisega või mittenõuetekohase täitmisega teisele Poolele tekitatud otsese varalise kahju hüvitab kahju tekitanud Pool teise Poole nõudel. </w:t>
      </w:r>
    </w:p>
    <w:p w14:paraId="1E40E44A" w14:textId="77777777" w:rsidR="003A1758" w:rsidRPr="00F278FA" w:rsidRDefault="003A1758" w:rsidP="003A1758">
      <w:pPr>
        <w:pStyle w:val="ListParagraph"/>
        <w:numPr>
          <w:ilvl w:val="1"/>
          <w:numId w:val="20"/>
        </w:numPr>
        <w:spacing w:after="160" w:line="259" w:lineRule="auto"/>
        <w:jc w:val="both"/>
      </w:pPr>
      <w:r w:rsidRPr="00F278FA">
        <w:t>Lepingust tulenevate rahaliste kohustuste täitmisega viivitamise korral on Poolel õigus nõuda kohustust rikkunud Poolelt viivist iga viivitatud päeva eest tähtaegselt tasumata summast 0,15% päevas.</w:t>
      </w:r>
    </w:p>
    <w:p w14:paraId="3A82AAA6" w14:textId="46EC672A" w:rsidR="003A1758" w:rsidRPr="00F278FA" w:rsidRDefault="003A1758" w:rsidP="003A1758">
      <w:pPr>
        <w:pStyle w:val="ListParagraph"/>
        <w:numPr>
          <w:ilvl w:val="1"/>
          <w:numId w:val="20"/>
        </w:numPr>
        <w:spacing w:after="160" w:line="259" w:lineRule="auto"/>
        <w:jc w:val="both"/>
      </w:pPr>
      <w:r w:rsidRPr="00F278FA">
        <w:t xml:space="preserve">Juhul, kui Tellijast mitteolenevatel põhjustel ei esita Töövõtja Tööd tähtaegselt, on Tellijal õigus nõuda Töövõtjalt leppetrahvi </w:t>
      </w:r>
      <w:r>
        <w:t>50 eurot</w:t>
      </w:r>
      <w:r w:rsidRPr="00F278FA">
        <w:t xml:space="preserve"> iga viivitatud kalendripäeva eest. Tellijal on õigus nõuda punktis </w:t>
      </w:r>
      <w:r>
        <w:t>7</w:t>
      </w:r>
      <w:r w:rsidRPr="00F278FA">
        <w:t>.3 nimetatud leppetrahvi ka juhul, kui Töö mittevastavuse korral ei kõrvalda Töövõtja puudust ega esita uut, nõuetekohaselt teostatud Tööd Tellija punkti 4.3 kohaselt nimetatud tähtajaks.</w:t>
      </w:r>
    </w:p>
    <w:p w14:paraId="41D96BE2" w14:textId="52FC751B" w:rsidR="003A1758" w:rsidRPr="00F278FA" w:rsidRDefault="003A1758" w:rsidP="003A1758">
      <w:pPr>
        <w:pStyle w:val="ListParagraph"/>
        <w:numPr>
          <w:ilvl w:val="1"/>
          <w:numId w:val="20"/>
        </w:numPr>
        <w:spacing w:after="160" w:line="259" w:lineRule="auto"/>
        <w:jc w:val="both"/>
      </w:pPr>
      <w:r w:rsidRPr="00F278FA">
        <w:t xml:space="preserve">Kui Töövõtja rikub Lepingu punktist 6 tulenevat kohustust, on Tellijal õigus nõuda temalt leppetrahvi summas </w:t>
      </w:r>
      <w:r>
        <w:t xml:space="preserve">kuni </w:t>
      </w:r>
      <w:r w:rsidRPr="00F278FA">
        <w:t xml:space="preserve">1000 eurot iga rikkumise kohta.  </w:t>
      </w:r>
    </w:p>
    <w:p w14:paraId="4D0CA52D" w14:textId="562DDC9B" w:rsidR="003A1758" w:rsidRPr="00F278FA" w:rsidRDefault="003A1758" w:rsidP="003A1758">
      <w:pPr>
        <w:pStyle w:val="ListParagraph"/>
        <w:numPr>
          <w:ilvl w:val="1"/>
          <w:numId w:val="20"/>
        </w:numPr>
        <w:spacing w:after="160" w:line="259" w:lineRule="auto"/>
        <w:jc w:val="both"/>
      </w:pPr>
      <w:r w:rsidRPr="00F278FA">
        <w:t>Kui Lepingus ei ole sätestatud teisiti, on teiste mitterahaliste kohustuste rikkumise korral teisel Poolel õigus nõuda leppetrahvi summas kuni 500 eurot.</w:t>
      </w:r>
    </w:p>
    <w:p w14:paraId="792994A6" w14:textId="77777777" w:rsidR="003A1758" w:rsidRPr="00F278FA" w:rsidRDefault="003A1758" w:rsidP="003A1758">
      <w:pPr>
        <w:pStyle w:val="ListParagraph"/>
        <w:widowControl w:val="0"/>
        <w:numPr>
          <w:ilvl w:val="1"/>
          <w:numId w:val="20"/>
        </w:numPr>
        <w:autoSpaceDE w:val="0"/>
        <w:autoSpaceDN w:val="0"/>
        <w:contextualSpacing w:val="0"/>
        <w:jc w:val="both"/>
      </w:pPr>
      <w:r w:rsidRPr="00F278FA">
        <w:t>Leppetrahvi nõudmine ei välista Poole õigust kasutada teisi seadusega ettenähtud õiguskaitsevahendeid, sh nõuda Lepingu täitmist ja/või kahju hüvitamist. Leppetrahvi maksmine ja kahju hüvitamine ei vabasta Lepingut rikkunud Poolt oma lepinguliste kohustuste edasisest täitmisest.</w:t>
      </w:r>
    </w:p>
    <w:p w14:paraId="4B389452" w14:textId="77777777" w:rsidR="003A1758" w:rsidRPr="00F278FA" w:rsidRDefault="003A1758" w:rsidP="003A1758">
      <w:pPr>
        <w:pStyle w:val="ListParagraph"/>
        <w:numPr>
          <w:ilvl w:val="1"/>
          <w:numId w:val="20"/>
        </w:numPr>
        <w:spacing w:after="160" w:line="259" w:lineRule="auto"/>
        <w:jc w:val="both"/>
      </w:pPr>
      <w:r w:rsidRPr="00F278FA">
        <w:lastRenderedPageBreak/>
        <w:t>Leppetrahvinõue või teade leppetrahvinõude esitamise kavatsuse kohta tuleb esitada 60 kalendripäeva jooksul kohustuse rikkumise avastamisest arvates. Leppetrahvid ja viivised tuleb tasuda 14 kalendripäeva jooksul arvates vastava nõude saamisest.</w:t>
      </w:r>
    </w:p>
    <w:p w14:paraId="549EFCE8" w14:textId="77777777" w:rsidR="003A1758" w:rsidRPr="00F278FA" w:rsidRDefault="003A1758" w:rsidP="003A1758">
      <w:pPr>
        <w:pStyle w:val="ListParagraph"/>
        <w:numPr>
          <w:ilvl w:val="1"/>
          <w:numId w:val="20"/>
        </w:numPr>
        <w:spacing w:after="160" w:line="259" w:lineRule="auto"/>
        <w:jc w:val="both"/>
      </w:pPr>
      <w:r w:rsidRPr="00F278FA">
        <w:t>Pooltel on vastastikuse tasaarveldamise võimalus.</w:t>
      </w:r>
    </w:p>
    <w:p w14:paraId="639B0E68" w14:textId="77777777" w:rsidR="001A4789" w:rsidRDefault="001A4789" w:rsidP="001A4789">
      <w:pPr>
        <w:pStyle w:val="ListParagraph"/>
        <w:spacing w:line="256" w:lineRule="auto"/>
        <w:ind w:left="792"/>
        <w:jc w:val="both"/>
      </w:pPr>
    </w:p>
    <w:p w14:paraId="4E849AD3" w14:textId="77777777" w:rsidR="001A4789" w:rsidRDefault="001A4789" w:rsidP="001A4789">
      <w:pPr>
        <w:pStyle w:val="ListParagraph"/>
        <w:numPr>
          <w:ilvl w:val="0"/>
          <w:numId w:val="20"/>
        </w:numPr>
        <w:autoSpaceDN w:val="0"/>
        <w:spacing w:line="256" w:lineRule="auto"/>
        <w:jc w:val="both"/>
        <w:rPr>
          <w:b/>
          <w:bCs/>
        </w:rPr>
      </w:pPr>
      <w:r>
        <w:rPr>
          <w:b/>
          <w:bCs/>
        </w:rPr>
        <w:t>Poolte kontaktisikud ja teabe vahetamine</w:t>
      </w:r>
    </w:p>
    <w:p w14:paraId="503471D5" w14:textId="2590A922" w:rsidR="001A4789" w:rsidRDefault="001A4789" w:rsidP="001A4789">
      <w:pPr>
        <w:pStyle w:val="ListParagraph"/>
        <w:numPr>
          <w:ilvl w:val="1"/>
          <w:numId w:val="20"/>
        </w:numPr>
        <w:autoSpaceDN w:val="0"/>
        <w:spacing w:line="256" w:lineRule="auto"/>
        <w:jc w:val="both"/>
      </w:pPr>
      <w:r>
        <w:t xml:space="preserve">Tellija kontaktisik Lepinguga seotud küsimustes, kellel on muu hulgas õigus kontrollida Töö täitmist ja võtta vastu Töö, on: Priit </w:t>
      </w:r>
      <w:proofErr w:type="spellStart"/>
      <w:r>
        <w:t>Poschlin</w:t>
      </w:r>
      <w:proofErr w:type="spellEnd"/>
      <w:r>
        <w:t>, telefon</w:t>
      </w:r>
      <w:r w:rsidR="003A1758">
        <w:t>:</w:t>
      </w:r>
      <w:r>
        <w:t xml:space="preserve"> 6672193, e-post: Priit.Poschlin@ttja.ee.  </w:t>
      </w:r>
    </w:p>
    <w:p w14:paraId="06FFE8C6" w14:textId="1CD4AA29" w:rsidR="001A4789" w:rsidRDefault="001A4789" w:rsidP="001A4789">
      <w:pPr>
        <w:pStyle w:val="ListParagraph"/>
        <w:numPr>
          <w:ilvl w:val="1"/>
          <w:numId w:val="20"/>
        </w:numPr>
        <w:autoSpaceDN w:val="0"/>
        <w:spacing w:line="256" w:lineRule="auto"/>
        <w:jc w:val="both"/>
      </w:pPr>
      <w:r>
        <w:t xml:space="preserve">Töövõtja kontaktisik Lepinguga seotud küsimustes, kellel on muu hulgas õigus anda üle Töö, on: </w:t>
      </w:r>
      <w:r w:rsidR="003A1758">
        <w:t>..., telefon: ..., e-post: ....</w:t>
      </w:r>
      <w:r>
        <w:t xml:space="preserve"> </w:t>
      </w:r>
    </w:p>
    <w:p w14:paraId="5241B9A0" w14:textId="77777777" w:rsidR="003A1758" w:rsidRPr="00F278FA" w:rsidRDefault="003A1758" w:rsidP="003A1758">
      <w:pPr>
        <w:pStyle w:val="ListParagraph"/>
        <w:numPr>
          <w:ilvl w:val="1"/>
          <w:numId w:val="20"/>
        </w:numPr>
        <w:suppressAutoHyphens/>
        <w:jc w:val="both"/>
      </w:pPr>
      <w:bookmarkStart w:id="0" w:name="_Hlk177754610"/>
      <w:r w:rsidRPr="00F278FA">
        <w:t>Lepingus nimetatud Poolte kontaktisikutel on Lepingu täitmise käigus õigus esitada vastastikku järelepärimisi, edastada Lepingu täitmisega seotud vajalikku informatsiooni ja dokumentatsiooni, kontrollida Lepingu täitmise käiku ja ajakavast kinnipidamist, küsida juhiseid, vastu võtta Lepingu täitmise käigus koostatavaid kokkuvõtteid ja muid kirjalikke dokumente, samuti teha muid Lepingus sätestamata toiminguid, mis on vajalikud Lepingu eesmärgi saavutamiseks.</w:t>
      </w:r>
    </w:p>
    <w:p w14:paraId="3E7B072B" w14:textId="77777777" w:rsidR="003A1758" w:rsidRPr="00F278FA" w:rsidRDefault="003A1758" w:rsidP="003A1758">
      <w:pPr>
        <w:pStyle w:val="ListParagraph"/>
        <w:numPr>
          <w:ilvl w:val="1"/>
          <w:numId w:val="20"/>
        </w:numPr>
        <w:suppressAutoHyphens/>
        <w:jc w:val="both"/>
        <w:rPr>
          <w:rFonts w:eastAsia="Calibri"/>
        </w:rPr>
      </w:pPr>
      <w:bookmarkStart w:id="1" w:name="_Hlk167705296"/>
      <w:r w:rsidRPr="00F278FA">
        <w:t>Lepingus nimetatud Poolte kontaktisikutel ei ole õigust Lepingu muutmiseks, v.a. juhul, kui Pool on andnud oma kontaktisikule eraldi sellekohase volikirja.</w:t>
      </w:r>
      <w:bookmarkEnd w:id="1"/>
    </w:p>
    <w:p w14:paraId="10CED783" w14:textId="77777777" w:rsidR="003A1758" w:rsidRPr="00F278FA" w:rsidRDefault="003A1758" w:rsidP="003A1758">
      <w:pPr>
        <w:numPr>
          <w:ilvl w:val="1"/>
          <w:numId w:val="20"/>
        </w:numPr>
        <w:spacing w:after="160"/>
        <w:contextualSpacing/>
        <w:jc w:val="both"/>
        <w:rPr>
          <w:rFonts w:eastAsia="Calibri"/>
        </w:rPr>
      </w:pPr>
      <w:r w:rsidRPr="00F278FA">
        <w:rPr>
          <w:rFonts w:eastAsia="Calibri"/>
        </w:rPr>
        <w:t xml:space="preserve">Informatiivsed teated võib edastada telefoni teel. Juhul, kui teate edastamisel on õiguslikud tagajärjed, peab teade olema edastatud kirjalikult Lepingus nimetatud postiaadressile või Poole esindaja poolt allkirjastatuna Lepingus nimetatud e-posti aadressile.  </w:t>
      </w:r>
    </w:p>
    <w:p w14:paraId="6A2E7CBA" w14:textId="77777777" w:rsidR="003A1758" w:rsidRPr="00F278FA" w:rsidRDefault="003A1758" w:rsidP="003A1758">
      <w:pPr>
        <w:numPr>
          <w:ilvl w:val="1"/>
          <w:numId w:val="20"/>
        </w:numPr>
        <w:spacing w:after="160"/>
        <w:contextualSpacing/>
        <w:jc w:val="both"/>
        <w:rPr>
          <w:rFonts w:eastAsia="Calibri"/>
        </w:rPr>
      </w:pPr>
      <w:r w:rsidRPr="00F278FA">
        <w:rPr>
          <w:rFonts w:eastAsia="Calibri"/>
        </w:rPr>
        <w:t>Lepingu Pool on kohustatud vastust eeldavale teatele vastama 3 tööpäeva jooksul selle kätte saamisest arvates, kui teates ei ole vastamiseks ette nähtud pikemat tähtaega.</w:t>
      </w:r>
    </w:p>
    <w:p w14:paraId="1473D7FF" w14:textId="77777777" w:rsidR="003A1758" w:rsidRPr="00F278FA" w:rsidRDefault="003A1758" w:rsidP="003A1758">
      <w:pPr>
        <w:numPr>
          <w:ilvl w:val="1"/>
          <w:numId w:val="20"/>
        </w:numPr>
        <w:spacing w:after="160"/>
        <w:contextualSpacing/>
        <w:jc w:val="both"/>
        <w:rPr>
          <w:rFonts w:eastAsia="Calibri"/>
        </w:rPr>
      </w:pPr>
      <w:r w:rsidRPr="00F278FA">
        <w:rPr>
          <w:rFonts w:eastAsia="Calibri"/>
        </w:rPr>
        <w:t>Poole teade loetakse teise Poole poolt kätte saaduks:</w:t>
      </w:r>
    </w:p>
    <w:p w14:paraId="3B31FEBF" w14:textId="77777777" w:rsidR="003A1758" w:rsidRPr="00F278FA" w:rsidRDefault="003A1758" w:rsidP="003A1758">
      <w:pPr>
        <w:numPr>
          <w:ilvl w:val="2"/>
          <w:numId w:val="20"/>
        </w:numPr>
        <w:spacing w:after="160"/>
        <w:contextualSpacing/>
        <w:jc w:val="both"/>
        <w:rPr>
          <w:rFonts w:eastAsia="Calibri"/>
        </w:rPr>
      </w:pPr>
      <w:r w:rsidRPr="00F278FA">
        <w:rPr>
          <w:rFonts w:eastAsia="Calibri"/>
        </w:rPr>
        <w:t>samal päeval, kui teade on saadetud elektroonilisel teel kontaktisiku e-posti aadressile tööpäeval enne kella 13.00;</w:t>
      </w:r>
    </w:p>
    <w:p w14:paraId="0806A634" w14:textId="77777777" w:rsidR="003A1758" w:rsidRPr="00F278FA" w:rsidRDefault="003A1758" w:rsidP="003A1758">
      <w:pPr>
        <w:numPr>
          <w:ilvl w:val="2"/>
          <w:numId w:val="20"/>
        </w:numPr>
        <w:spacing w:after="160"/>
        <w:contextualSpacing/>
        <w:jc w:val="both"/>
        <w:rPr>
          <w:rFonts w:eastAsia="Calibri"/>
        </w:rPr>
      </w:pPr>
      <w:r w:rsidRPr="00F278FA">
        <w:rPr>
          <w:rFonts w:eastAsia="Calibri"/>
        </w:rPr>
        <w:t>järgmisel tööpäeval, kui teade on saadetud elektroonilisel teel kontaktisiku e-posti aadressile tööpäeval pärast kella 13.00</w:t>
      </w:r>
    </w:p>
    <w:p w14:paraId="0222D0F1" w14:textId="77777777" w:rsidR="003A1758" w:rsidRPr="00F278FA" w:rsidRDefault="003A1758" w:rsidP="003A1758">
      <w:pPr>
        <w:numPr>
          <w:ilvl w:val="2"/>
          <w:numId w:val="20"/>
        </w:numPr>
        <w:contextualSpacing/>
        <w:jc w:val="both"/>
        <w:rPr>
          <w:noProof/>
        </w:rPr>
      </w:pPr>
      <w:r w:rsidRPr="00F278FA">
        <w:rPr>
          <w:noProof/>
        </w:rPr>
        <w:t>järgmisel tööpäeval, kui teade on saadetud elektroonilisel teel kontaktisiku e-posti aadressile puhkepäeval</w:t>
      </w:r>
      <w:r w:rsidRPr="00F278FA">
        <w:rPr>
          <w:rFonts w:eastAsia="Calibri"/>
        </w:rPr>
        <w:t>.</w:t>
      </w:r>
    </w:p>
    <w:bookmarkEnd w:id="0"/>
    <w:p w14:paraId="70DF5DAF" w14:textId="77777777" w:rsidR="001A4789" w:rsidRDefault="001A4789" w:rsidP="001A4789">
      <w:pPr>
        <w:pStyle w:val="ListParagraph"/>
        <w:suppressAutoHyphens/>
        <w:spacing w:line="276" w:lineRule="auto"/>
        <w:ind w:left="1224"/>
        <w:jc w:val="both"/>
        <w:rPr>
          <w:noProof/>
        </w:rPr>
      </w:pPr>
    </w:p>
    <w:p w14:paraId="4419FE35" w14:textId="77777777" w:rsidR="001A4789" w:rsidRDefault="001A4789" w:rsidP="001A4789">
      <w:pPr>
        <w:pStyle w:val="ListParagraph"/>
        <w:numPr>
          <w:ilvl w:val="0"/>
          <w:numId w:val="20"/>
        </w:numPr>
        <w:autoSpaceDN w:val="0"/>
        <w:spacing w:line="256" w:lineRule="auto"/>
        <w:jc w:val="both"/>
        <w:rPr>
          <w:b/>
          <w:bCs/>
        </w:rPr>
      </w:pPr>
      <w:r>
        <w:rPr>
          <w:b/>
          <w:bCs/>
        </w:rPr>
        <w:t xml:space="preserve">Lepingu jõustumine, muutmine ja lõpetamine </w:t>
      </w:r>
    </w:p>
    <w:p w14:paraId="343A0601" w14:textId="11D6F8BA" w:rsidR="001A4789" w:rsidRDefault="001A4789" w:rsidP="001A4789">
      <w:pPr>
        <w:pStyle w:val="ListParagraph"/>
        <w:numPr>
          <w:ilvl w:val="1"/>
          <w:numId w:val="20"/>
        </w:numPr>
        <w:autoSpaceDN w:val="0"/>
        <w:spacing w:line="256" w:lineRule="auto"/>
        <w:jc w:val="both"/>
      </w:pPr>
      <w:r>
        <w:t>Leping jõustub selle viimase Poole poolt allkirjastamise päeval ja kehtib kuni Poolte lepinguliste kohustuste nõuetekohase täitmiseni või Lepingu ennetähtaegse lõpetamiseni</w:t>
      </w:r>
      <w:r w:rsidR="003A1758">
        <w:t xml:space="preserve">, </w:t>
      </w:r>
      <w:r w:rsidR="003A1758" w:rsidRPr="00F278FA">
        <w:t xml:space="preserve">välja arvatud need sätted, mis oma olemusest lähtuvalt reguleerivad Pooltevahelisi suhteid ka pärast Lepingu lõpetamist. </w:t>
      </w:r>
      <w:r>
        <w:t xml:space="preserve"> </w:t>
      </w:r>
    </w:p>
    <w:p w14:paraId="31052A88" w14:textId="77777777" w:rsidR="001A4789" w:rsidRDefault="001A4789" w:rsidP="001A4789">
      <w:pPr>
        <w:pStyle w:val="ListParagraph"/>
        <w:numPr>
          <w:ilvl w:val="1"/>
          <w:numId w:val="20"/>
        </w:numPr>
        <w:autoSpaceDN w:val="0"/>
        <w:spacing w:line="256" w:lineRule="auto"/>
        <w:jc w:val="both"/>
      </w:pPr>
      <w:r>
        <w:t xml:space="preserve">Lepingut võib muuta üksnes Poolte kirjalikul kokkuleppel ja muudatused vormistatakse Lepingu lisana. </w:t>
      </w:r>
      <w:r>
        <w:rPr>
          <w:noProof/>
        </w:rPr>
        <w:t xml:space="preserve">Muudatused jõustuvad pärast viimase Poole poolt allkirjastamist või Poolte poolt muudatuses märgitud tähtajal. </w:t>
      </w:r>
      <w:r>
        <w:t xml:space="preserve">Lepingu muutmisel järgivad Pooled riigihangete seaduse §-s 123 sätestatud tingimusi. </w:t>
      </w:r>
    </w:p>
    <w:p w14:paraId="2E3D78E7" w14:textId="77777777" w:rsidR="001A4789" w:rsidRDefault="001A4789" w:rsidP="001A4789">
      <w:pPr>
        <w:pStyle w:val="ListParagraph"/>
        <w:numPr>
          <w:ilvl w:val="1"/>
          <w:numId w:val="20"/>
        </w:numPr>
        <w:autoSpaceDN w:val="0"/>
        <w:spacing w:line="256" w:lineRule="auto"/>
        <w:jc w:val="both"/>
      </w:pPr>
      <w:r>
        <w:t xml:space="preserve">Poolte kontaktandmete muutumisest tuleb teist Poolt teavitada mõistliku aja jooksul. Kontaktandmete muutmist ei loeta Lepingu muutmiseks punkti 9.2 mõistes. </w:t>
      </w:r>
    </w:p>
    <w:p w14:paraId="69409572" w14:textId="77777777" w:rsidR="003A1758" w:rsidRPr="00F278FA" w:rsidRDefault="003A1758" w:rsidP="003A1758">
      <w:pPr>
        <w:pStyle w:val="ListParagraph"/>
        <w:numPr>
          <w:ilvl w:val="1"/>
          <w:numId w:val="20"/>
        </w:numPr>
        <w:spacing w:after="160" w:line="259" w:lineRule="auto"/>
        <w:jc w:val="both"/>
      </w:pPr>
      <w:bookmarkStart w:id="2" w:name="_Hlk177754642"/>
      <w:r w:rsidRPr="00F278FA">
        <w:t xml:space="preserve">Kumbki Pool võib Lepingu erakorraliselt ilma etteteatamistähtajata üles öelda, kui ilmneb, et kõiki asjaolusid arvesse võttes ja Poolte huve arvestades ei või oodata, et Lepingut üles öelda </w:t>
      </w:r>
      <w:r w:rsidRPr="00F278FA">
        <w:lastRenderedPageBreak/>
        <w:t>sooviv Pool jätkaks Lepingu täitmist, eelkõige kui Pool on jätnud Lepingust tuleneva kohustuse täitmata ega ole täitnud vastavat kohustust temale antud täiendava tähtaja jooksul.</w:t>
      </w:r>
    </w:p>
    <w:p w14:paraId="54BDCA00" w14:textId="2CACC7C7" w:rsidR="003A1758" w:rsidRPr="00F278FA" w:rsidRDefault="003A1758" w:rsidP="003A1758">
      <w:pPr>
        <w:pStyle w:val="ListParagraph"/>
        <w:numPr>
          <w:ilvl w:val="1"/>
          <w:numId w:val="20"/>
        </w:numPr>
        <w:spacing w:after="160" w:line="259" w:lineRule="auto"/>
        <w:jc w:val="both"/>
      </w:pPr>
      <w:r w:rsidRPr="00F278FA">
        <w:t xml:space="preserve">Lepingu ülesütlemise kohta edastab Pool teisele Poolele vastavalt punktile </w:t>
      </w:r>
      <w:r>
        <w:t>8</w:t>
      </w:r>
      <w:r w:rsidRPr="00F278FA">
        <w:t>.5. kirjaliku Lepingu ülesütlemise avalduse.</w:t>
      </w:r>
    </w:p>
    <w:bookmarkEnd w:id="2"/>
    <w:p w14:paraId="67AAC9E0" w14:textId="19DA441E" w:rsidR="003A1758" w:rsidRDefault="003A1758" w:rsidP="003A1758">
      <w:pPr>
        <w:pStyle w:val="ListParagraph"/>
        <w:numPr>
          <w:ilvl w:val="1"/>
          <w:numId w:val="20"/>
        </w:numPr>
        <w:spacing w:after="160" w:line="259" w:lineRule="auto"/>
        <w:jc w:val="both"/>
      </w:pPr>
      <w:r w:rsidRPr="00F278FA">
        <w:t>Lepingu ülesütlemise korral on Tellija kohustatud tasuma Töövõtjale tema poolt osutatud ja Tellija poolt vastuvõetud tööde ja tegevuste eest, mis olid osutatud Lepingu viimase kehtivuse päevani. Kui Tellija on Lepingust tulenevad kohustused kohaselt täitnud, kuid Töövõtja ütleb Lepingu üles enne Töö läbiviimise lõpuleviimist, ei ole Töövõtja õigustatud nõudma Lepinguga kokkulepitud Tasu</w:t>
      </w:r>
      <w:r>
        <w:t>.</w:t>
      </w:r>
    </w:p>
    <w:p w14:paraId="0CEA03C2" w14:textId="77777777" w:rsidR="001A4789" w:rsidRDefault="001A4789" w:rsidP="001A4789">
      <w:pPr>
        <w:pStyle w:val="ListParagraph"/>
        <w:spacing w:line="256" w:lineRule="auto"/>
        <w:ind w:left="1224"/>
        <w:jc w:val="both"/>
      </w:pPr>
    </w:p>
    <w:p w14:paraId="089EEA71" w14:textId="77777777" w:rsidR="001A4789" w:rsidRDefault="001A4789" w:rsidP="001A4789">
      <w:pPr>
        <w:pStyle w:val="ListParagraph"/>
        <w:numPr>
          <w:ilvl w:val="0"/>
          <w:numId w:val="20"/>
        </w:numPr>
        <w:autoSpaceDN w:val="0"/>
        <w:spacing w:line="256" w:lineRule="auto"/>
        <w:jc w:val="both"/>
        <w:rPr>
          <w:b/>
          <w:bCs/>
        </w:rPr>
      </w:pPr>
      <w:r>
        <w:rPr>
          <w:b/>
          <w:bCs/>
        </w:rPr>
        <w:t>Lõppsätted</w:t>
      </w:r>
    </w:p>
    <w:p w14:paraId="5394B708" w14:textId="77777777" w:rsidR="001A4789" w:rsidRDefault="001A4789" w:rsidP="001A4789">
      <w:pPr>
        <w:pStyle w:val="ListParagraph"/>
        <w:numPr>
          <w:ilvl w:val="1"/>
          <w:numId w:val="20"/>
        </w:numPr>
        <w:autoSpaceDN w:val="0"/>
        <w:spacing w:line="256" w:lineRule="auto"/>
        <w:jc w:val="both"/>
      </w:pPr>
      <w:r>
        <w:t xml:space="preserve">Pooled ei tohi Lepingust tulenevaid õigusi ja kohustusi kolmandale isikule üle anda ilma teise Poole eelneva kirjaliku nõusolekuta. </w:t>
      </w:r>
    </w:p>
    <w:p w14:paraId="0B3EA0C6" w14:textId="77777777" w:rsidR="001A4789" w:rsidRDefault="001A4789" w:rsidP="001A4789">
      <w:pPr>
        <w:pStyle w:val="ListParagraph"/>
        <w:numPr>
          <w:ilvl w:val="1"/>
          <w:numId w:val="20"/>
        </w:numPr>
        <w:autoSpaceDN w:val="0"/>
        <w:spacing w:line="256" w:lineRule="auto"/>
        <w:jc w:val="both"/>
      </w:pPr>
      <w:r>
        <w:t xml:space="preserve">Lepingust tulenevad vaidlused lahendatakse läbirääkimiste teel. Kokkuleppe mittesaavutamisel lahendatakse vaidlus Eesti Vabariigi õigusaktidega sätestatud korras. </w:t>
      </w:r>
    </w:p>
    <w:p w14:paraId="7CAA90DC" w14:textId="77777777" w:rsidR="001A4789" w:rsidRDefault="001A4789" w:rsidP="001A4789">
      <w:pPr>
        <w:pStyle w:val="ListParagraph"/>
        <w:numPr>
          <w:ilvl w:val="1"/>
          <w:numId w:val="20"/>
        </w:numPr>
        <w:autoSpaceDN w:val="0"/>
        <w:spacing w:line="256" w:lineRule="auto"/>
        <w:jc w:val="both"/>
      </w:pPr>
      <w:r>
        <w:t>Lepinguga reguleerimata küsimustes juhinduvad pooled Eesti Vabariigis kehtivatest õigusaktidest.</w:t>
      </w:r>
    </w:p>
    <w:p w14:paraId="36844C52" w14:textId="663863B4" w:rsidR="001A4789" w:rsidRDefault="001A4789" w:rsidP="003A1758">
      <w:pPr>
        <w:pStyle w:val="ListParagraph"/>
        <w:numPr>
          <w:ilvl w:val="1"/>
          <w:numId w:val="20"/>
        </w:numPr>
        <w:autoSpaceDN w:val="0"/>
        <w:spacing w:line="256" w:lineRule="auto"/>
        <w:jc w:val="both"/>
      </w:pPr>
      <w:r>
        <w:t>Lepingu tekst on avalik teave.</w:t>
      </w:r>
      <w:r w:rsidR="003A1758">
        <w:t xml:space="preserve"> </w:t>
      </w:r>
      <w:r w:rsidR="003A1758" w:rsidRPr="003A1758">
        <w:rPr>
          <w:i/>
          <w:iCs/>
        </w:rPr>
        <w:t>Lisa</w:t>
      </w:r>
      <w:r w:rsidR="00A1043B">
        <w:rPr>
          <w:i/>
          <w:iCs/>
        </w:rPr>
        <w:t xml:space="preserve"> </w:t>
      </w:r>
      <w:r w:rsidR="003A1758" w:rsidRPr="003A1758">
        <w:rPr>
          <w:i/>
          <w:iCs/>
        </w:rPr>
        <w:t>2 sisalda</w:t>
      </w:r>
      <w:r w:rsidR="00A1043B">
        <w:rPr>
          <w:i/>
          <w:iCs/>
        </w:rPr>
        <w:t>b</w:t>
      </w:r>
      <w:r w:rsidR="003A1758" w:rsidRPr="003A1758">
        <w:rPr>
          <w:i/>
          <w:iCs/>
        </w:rPr>
        <w:t xml:space="preserve"> konfidentsiaalset teavet, ega kuulu täies mahus avaldamisele.</w:t>
      </w:r>
    </w:p>
    <w:p w14:paraId="0C70BE22" w14:textId="77777777" w:rsidR="001A4789" w:rsidRDefault="001A4789" w:rsidP="001A4789">
      <w:pPr>
        <w:pStyle w:val="Heading1"/>
        <w:spacing w:before="84"/>
        <w:ind w:right="10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4"/>
      </w:tblGrid>
      <w:tr w:rsidR="001A4789" w14:paraId="65D37DB0" w14:textId="77777777" w:rsidTr="001A4789">
        <w:tc>
          <w:tcPr>
            <w:tcW w:w="4995" w:type="dxa"/>
            <w:hideMark/>
          </w:tcPr>
          <w:p w14:paraId="5C3AD7BF" w14:textId="77777777" w:rsidR="001A4789" w:rsidRDefault="001A4789">
            <w:pPr>
              <w:pStyle w:val="Heading1"/>
              <w:spacing w:before="84"/>
              <w:ind w:right="103"/>
            </w:pPr>
            <w:r>
              <w:t>Tellija</w:t>
            </w:r>
          </w:p>
        </w:tc>
        <w:tc>
          <w:tcPr>
            <w:tcW w:w="4995" w:type="dxa"/>
            <w:hideMark/>
          </w:tcPr>
          <w:p w14:paraId="58739978" w14:textId="77777777" w:rsidR="001A4789" w:rsidRDefault="001A4789">
            <w:pPr>
              <w:pStyle w:val="Heading1"/>
              <w:spacing w:before="84"/>
              <w:ind w:right="103"/>
            </w:pPr>
            <w:r>
              <w:t>Töövõtja</w:t>
            </w:r>
          </w:p>
        </w:tc>
      </w:tr>
      <w:tr w:rsidR="001A4789" w14:paraId="3B8E8C08" w14:textId="77777777" w:rsidTr="001A4789">
        <w:tc>
          <w:tcPr>
            <w:tcW w:w="4995" w:type="dxa"/>
            <w:hideMark/>
          </w:tcPr>
          <w:p w14:paraId="7D89B4C2" w14:textId="77777777" w:rsidR="001A4789" w:rsidRDefault="001A4789">
            <w:pPr>
              <w:pStyle w:val="Heading1"/>
              <w:spacing w:before="84"/>
              <w:ind w:right="103"/>
              <w:rPr>
                <w:b w:val="0"/>
                <w:bCs w:val="0"/>
              </w:rPr>
            </w:pPr>
            <w:r>
              <w:rPr>
                <w:b w:val="0"/>
                <w:bCs w:val="0"/>
              </w:rPr>
              <w:t>(allkirjastatud digitaalselt)</w:t>
            </w:r>
          </w:p>
        </w:tc>
        <w:tc>
          <w:tcPr>
            <w:tcW w:w="4995" w:type="dxa"/>
            <w:hideMark/>
          </w:tcPr>
          <w:p w14:paraId="26E85EEE" w14:textId="77777777" w:rsidR="001A4789" w:rsidRDefault="001A4789">
            <w:pPr>
              <w:pStyle w:val="Heading1"/>
              <w:spacing w:before="84"/>
              <w:ind w:right="103"/>
              <w:rPr>
                <w:b w:val="0"/>
                <w:bCs w:val="0"/>
              </w:rPr>
            </w:pPr>
            <w:r>
              <w:rPr>
                <w:b w:val="0"/>
                <w:bCs w:val="0"/>
              </w:rPr>
              <w:t>(allkirjastatud digitaalselt)</w:t>
            </w:r>
          </w:p>
        </w:tc>
      </w:tr>
      <w:tr w:rsidR="001A4789" w14:paraId="3A0B2530" w14:textId="77777777" w:rsidTr="001A4789">
        <w:tc>
          <w:tcPr>
            <w:tcW w:w="4995" w:type="dxa"/>
          </w:tcPr>
          <w:p w14:paraId="669ED1E4" w14:textId="77777777" w:rsidR="001A4789" w:rsidRDefault="001A4789">
            <w:pPr>
              <w:pStyle w:val="Heading1"/>
              <w:spacing w:before="84"/>
              <w:ind w:right="103"/>
              <w:rPr>
                <w:b w:val="0"/>
                <w:bCs w:val="0"/>
              </w:rPr>
            </w:pPr>
          </w:p>
        </w:tc>
        <w:tc>
          <w:tcPr>
            <w:tcW w:w="4995" w:type="dxa"/>
          </w:tcPr>
          <w:p w14:paraId="75E70080" w14:textId="77777777" w:rsidR="001A4789" w:rsidRDefault="001A4789">
            <w:pPr>
              <w:pStyle w:val="Heading1"/>
              <w:spacing w:before="84"/>
              <w:ind w:right="103"/>
              <w:rPr>
                <w:b w:val="0"/>
                <w:bCs w:val="0"/>
              </w:rPr>
            </w:pPr>
          </w:p>
        </w:tc>
      </w:tr>
      <w:tr w:rsidR="001A4789" w14:paraId="49F503CA" w14:textId="77777777" w:rsidTr="001A4789">
        <w:tc>
          <w:tcPr>
            <w:tcW w:w="4995" w:type="dxa"/>
            <w:hideMark/>
          </w:tcPr>
          <w:p w14:paraId="51749416" w14:textId="6A52A9E1" w:rsidR="001A4789" w:rsidRDefault="001A4789">
            <w:pPr>
              <w:pStyle w:val="Heading1"/>
              <w:spacing w:before="84"/>
              <w:ind w:right="103"/>
              <w:rPr>
                <w:b w:val="0"/>
                <w:bCs w:val="0"/>
              </w:rPr>
            </w:pPr>
          </w:p>
        </w:tc>
        <w:tc>
          <w:tcPr>
            <w:tcW w:w="4995" w:type="dxa"/>
            <w:hideMark/>
          </w:tcPr>
          <w:p w14:paraId="0061FB5E" w14:textId="352A298B" w:rsidR="001A4789" w:rsidRDefault="001A4789">
            <w:pPr>
              <w:pStyle w:val="Heading1"/>
              <w:spacing w:before="84"/>
              <w:ind w:right="103"/>
              <w:rPr>
                <w:b w:val="0"/>
                <w:bCs w:val="0"/>
              </w:rPr>
            </w:pPr>
          </w:p>
        </w:tc>
      </w:tr>
      <w:tr w:rsidR="001A4789" w14:paraId="03A5AC1C" w14:textId="77777777" w:rsidTr="0006480E">
        <w:tc>
          <w:tcPr>
            <w:tcW w:w="4995" w:type="dxa"/>
            <w:hideMark/>
          </w:tcPr>
          <w:p w14:paraId="579F3087" w14:textId="4AA5A410" w:rsidR="001A4789" w:rsidRDefault="00A1043B">
            <w:pPr>
              <w:pStyle w:val="Heading1"/>
              <w:spacing w:before="84"/>
              <w:ind w:right="103"/>
              <w:rPr>
                <w:b w:val="0"/>
                <w:bCs w:val="0"/>
              </w:rPr>
            </w:pPr>
            <w:r>
              <w:rPr>
                <w:b w:val="0"/>
                <w:bCs w:val="0"/>
              </w:rPr>
              <w:t xml:space="preserve">Kristi </w:t>
            </w:r>
            <w:proofErr w:type="spellStart"/>
            <w:r>
              <w:rPr>
                <w:b w:val="0"/>
                <w:bCs w:val="0"/>
              </w:rPr>
              <w:t>Talving</w:t>
            </w:r>
            <w:proofErr w:type="spellEnd"/>
          </w:p>
        </w:tc>
        <w:tc>
          <w:tcPr>
            <w:tcW w:w="4995" w:type="dxa"/>
          </w:tcPr>
          <w:p w14:paraId="11159299" w14:textId="7F7AFF63" w:rsidR="001A4789" w:rsidRDefault="00A1043B" w:rsidP="00A1043B">
            <w:pPr>
              <w:pStyle w:val="Heading1"/>
              <w:tabs>
                <w:tab w:val="left" w:pos="1062"/>
              </w:tabs>
              <w:spacing w:before="84"/>
              <w:ind w:right="103"/>
              <w:rPr>
                <w:b w:val="0"/>
                <w:bCs w:val="0"/>
              </w:rPr>
            </w:pPr>
            <w:r>
              <w:rPr>
                <w:b w:val="0"/>
                <w:bCs w:val="0"/>
              </w:rPr>
              <w:t>...</w:t>
            </w:r>
          </w:p>
        </w:tc>
      </w:tr>
      <w:tr w:rsidR="001A4789" w14:paraId="3596ADBC" w14:textId="77777777" w:rsidTr="001A4789">
        <w:tc>
          <w:tcPr>
            <w:tcW w:w="4995" w:type="dxa"/>
          </w:tcPr>
          <w:p w14:paraId="05C86E50" w14:textId="4C7C885B" w:rsidR="001A4789" w:rsidRDefault="00A1043B">
            <w:pPr>
              <w:pStyle w:val="Heading1"/>
              <w:spacing w:before="84"/>
              <w:ind w:right="103"/>
              <w:rPr>
                <w:b w:val="0"/>
                <w:bCs w:val="0"/>
              </w:rPr>
            </w:pPr>
            <w:r>
              <w:rPr>
                <w:b w:val="0"/>
                <w:bCs w:val="0"/>
              </w:rPr>
              <w:t>peadirektor</w:t>
            </w:r>
          </w:p>
        </w:tc>
        <w:tc>
          <w:tcPr>
            <w:tcW w:w="4995" w:type="dxa"/>
          </w:tcPr>
          <w:p w14:paraId="753CB91E" w14:textId="2243E5CA" w:rsidR="001A4789" w:rsidRDefault="00A1043B">
            <w:pPr>
              <w:pStyle w:val="Heading1"/>
              <w:spacing w:before="84"/>
              <w:ind w:right="103"/>
              <w:rPr>
                <w:b w:val="0"/>
                <w:bCs w:val="0"/>
              </w:rPr>
            </w:pPr>
            <w:r>
              <w:rPr>
                <w:b w:val="0"/>
                <w:bCs w:val="0"/>
              </w:rPr>
              <w:t>...</w:t>
            </w:r>
          </w:p>
        </w:tc>
      </w:tr>
    </w:tbl>
    <w:p w14:paraId="7093C642" w14:textId="77777777" w:rsidR="001A4789" w:rsidRDefault="001A4789" w:rsidP="001A4789">
      <w:pPr>
        <w:pStyle w:val="Heading1"/>
        <w:spacing w:before="84"/>
        <w:ind w:right="103"/>
      </w:pPr>
    </w:p>
    <w:p w14:paraId="65851655" w14:textId="77777777" w:rsidR="00CE2425" w:rsidRDefault="00CE2425">
      <w:pPr>
        <w:jc w:val="both"/>
        <w:rPr>
          <w:b/>
        </w:rPr>
      </w:pPr>
    </w:p>
    <w:sectPr w:rsidR="00CE2425" w:rsidSect="007468EF">
      <w:headerReference w:type="even" r:id="rId8"/>
      <w:headerReference w:type="default" r:id="rId9"/>
      <w:footerReference w:type="even" r:id="rId10"/>
      <w:footerReference w:type="default" r:id="rId11"/>
      <w:pgSz w:w="12240" w:h="15840"/>
      <w:pgMar w:top="1418" w:right="851"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219E" w14:textId="77777777" w:rsidR="00F25866" w:rsidRDefault="00F25866">
      <w:pPr>
        <w:pStyle w:val="Footer"/>
      </w:pPr>
      <w:r>
        <w:separator/>
      </w:r>
    </w:p>
  </w:endnote>
  <w:endnote w:type="continuationSeparator" w:id="0">
    <w:p w14:paraId="6A38CABC" w14:textId="77777777" w:rsidR="00F25866" w:rsidRDefault="00F25866">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Roman">
    <w:altName w:val="Times New Roman"/>
    <w:panose1 w:val="020B0604020202020204"/>
    <w:charset w:val="00"/>
    <w:family w:val="roman"/>
    <w:pitch w:val="default"/>
  </w:font>
  <w:font w:name="CG Times (WN)">
    <w:altName w:val="Times New Roman"/>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Switzerland">
    <w:altName w:val="Arial"/>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99A3" w14:textId="77777777" w:rsidR="002B2702" w:rsidRDefault="002B2702" w:rsidP="003F4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BC559" w14:textId="77777777" w:rsidR="002B2702" w:rsidRDefault="002B2702" w:rsidP="002B3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54FF" w14:textId="77777777" w:rsidR="002B2702" w:rsidRDefault="002B2702" w:rsidP="003F4731">
    <w:pPr>
      <w:pStyle w:val="Footer"/>
      <w:framePr w:wrap="around" w:vAnchor="text" w:hAnchor="margin" w:xAlign="right" w:y="1"/>
      <w:rPr>
        <w:rStyle w:val="PageNumber"/>
      </w:rPr>
    </w:pPr>
  </w:p>
  <w:p w14:paraId="329A8A70" w14:textId="77777777" w:rsidR="002B2702" w:rsidRDefault="002B2702" w:rsidP="002B38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E136" w14:textId="77777777" w:rsidR="00F25866" w:rsidRDefault="00F25866">
      <w:pPr>
        <w:pStyle w:val="Footer"/>
      </w:pPr>
      <w:r>
        <w:separator/>
      </w:r>
    </w:p>
  </w:footnote>
  <w:footnote w:type="continuationSeparator" w:id="0">
    <w:p w14:paraId="78333E28" w14:textId="77777777" w:rsidR="00F25866" w:rsidRDefault="00F25866">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2DB2" w14:textId="77777777" w:rsidR="002B2702" w:rsidRDefault="002B2702" w:rsidP="007825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6EC63" w14:textId="77777777" w:rsidR="002B2702" w:rsidRDefault="002B2702" w:rsidP="003F47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6B81" w14:textId="77777777" w:rsidR="002B2702" w:rsidRDefault="002B2702">
    <w:pPr>
      <w:pStyle w:val="Header"/>
      <w:jc w:val="center"/>
    </w:pPr>
    <w:r>
      <w:fldChar w:fldCharType="begin"/>
    </w:r>
    <w:r>
      <w:instrText>PAGE   \* MERGEFORMAT</w:instrText>
    </w:r>
    <w:r>
      <w:fldChar w:fldCharType="separate"/>
    </w:r>
    <w:r w:rsidR="00135EC4">
      <w:rPr>
        <w:noProof/>
      </w:rPr>
      <w:t>5</w:t>
    </w:r>
    <w:r>
      <w:fldChar w:fldCharType="end"/>
    </w:r>
  </w:p>
  <w:p w14:paraId="60CB03CF" w14:textId="77777777" w:rsidR="002B2702" w:rsidRDefault="002B2702" w:rsidP="003F47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27DE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759F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A31F3"/>
    <w:multiLevelType w:val="hybridMultilevel"/>
    <w:tmpl w:val="36D4EE06"/>
    <w:lvl w:ilvl="0" w:tplc="80CEF8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B4FE0"/>
    <w:multiLevelType w:val="hybridMultilevel"/>
    <w:tmpl w:val="FB98B170"/>
    <w:lvl w:ilvl="0" w:tplc="0BA63534">
      <w:start w:val="1"/>
      <w:numFmt w:val="decimal"/>
      <w:lvlText w:val="%1."/>
      <w:lvlJc w:val="left"/>
      <w:pPr>
        <w:tabs>
          <w:tab w:val="num" w:pos="720"/>
        </w:tabs>
        <w:ind w:left="720" w:hanging="360"/>
      </w:pPr>
      <w:rPr>
        <w:rFonts w:hint="default"/>
      </w:rPr>
    </w:lvl>
    <w:lvl w:ilvl="1" w:tplc="6E52BDFA">
      <w:numFmt w:val="none"/>
      <w:lvlText w:val=""/>
      <w:lvlJc w:val="left"/>
      <w:pPr>
        <w:tabs>
          <w:tab w:val="num" w:pos="360"/>
        </w:tabs>
      </w:pPr>
    </w:lvl>
    <w:lvl w:ilvl="2" w:tplc="9E523A4E">
      <w:numFmt w:val="none"/>
      <w:lvlText w:val=""/>
      <w:lvlJc w:val="left"/>
      <w:pPr>
        <w:tabs>
          <w:tab w:val="num" w:pos="360"/>
        </w:tabs>
      </w:pPr>
    </w:lvl>
    <w:lvl w:ilvl="3" w:tplc="3EA8FE84">
      <w:numFmt w:val="none"/>
      <w:lvlText w:val=""/>
      <w:lvlJc w:val="left"/>
      <w:pPr>
        <w:tabs>
          <w:tab w:val="num" w:pos="360"/>
        </w:tabs>
      </w:pPr>
    </w:lvl>
    <w:lvl w:ilvl="4" w:tplc="C18CA38A">
      <w:numFmt w:val="none"/>
      <w:lvlText w:val=""/>
      <w:lvlJc w:val="left"/>
      <w:pPr>
        <w:tabs>
          <w:tab w:val="num" w:pos="360"/>
        </w:tabs>
      </w:pPr>
    </w:lvl>
    <w:lvl w:ilvl="5" w:tplc="903CF174">
      <w:numFmt w:val="none"/>
      <w:lvlText w:val=""/>
      <w:lvlJc w:val="left"/>
      <w:pPr>
        <w:tabs>
          <w:tab w:val="num" w:pos="360"/>
        </w:tabs>
      </w:pPr>
    </w:lvl>
    <w:lvl w:ilvl="6" w:tplc="867A5616">
      <w:numFmt w:val="none"/>
      <w:lvlText w:val=""/>
      <w:lvlJc w:val="left"/>
      <w:pPr>
        <w:tabs>
          <w:tab w:val="num" w:pos="360"/>
        </w:tabs>
      </w:pPr>
    </w:lvl>
    <w:lvl w:ilvl="7" w:tplc="24CE7E6A">
      <w:numFmt w:val="none"/>
      <w:lvlText w:val=""/>
      <w:lvlJc w:val="left"/>
      <w:pPr>
        <w:tabs>
          <w:tab w:val="num" w:pos="360"/>
        </w:tabs>
      </w:pPr>
    </w:lvl>
    <w:lvl w:ilvl="8" w:tplc="2C0AFEEC">
      <w:numFmt w:val="none"/>
      <w:lvlText w:val=""/>
      <w:lvlJc w:val="left"/>
      <w:pPr>
        <w:tabs>
          <w:tab w:val="num" w:pos="360"/>
        </w:tabs>
      </w:pPr>
    </w:lvl>
  </w:abstractNum>
  <w:abstractNum w:abstractNumId="5" w15:restartNumberingAfterBreak="0">
    <w:nsid w:val="132808D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FC12BE"/>
    <w:multiLevelType w:val="hybridMultilevel"/>
    <w:tmpl w:val="8F542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7039B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8A76B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215EA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3195B"/>
    <w:multiLevelType w:val="hybridMultilevel"/>
    <w:tmpl w:val="BC52370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ED2AE1"/>
    <w:multiLevelType w:val="multilevel"/>
    <w:tmpl w:val="14323A7A"/>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b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7B10301"/>
    <w:multiLevelType w:val="singleLevel"/>
    <w:tmpl w:val="0C09000F"/>
    <w:lvl w:ilvl="0">
      <w:start w:val="1"/>
      <w:numFmt w:val="decimal"/>
      <w:lvlText w:val="%1."/>
      <w:lvlJc w:val="left"/>
      <w:pPr>
        <w:tabs>
          <w:tab w:val="num" w:pos="360"/>
        </w:tabs>
        <w:ind w:left="360" w:hanging="360"/>
      </w:pPr>
      <w:rPr>
        <w:rFonts w:hint="default"/>
      </w:rPr>
    </w:lvl>
  </w:abstractNum>
  <w:abstractNum w:abstractNumId="13" w15:restartNumberingAfterBreak="0">
    <w:nsid w:val="4A154645"/>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D435A83"/>
    <w:multiLevelType w:val="multilevel"/>
    <w:tmpl w:val="5A64461E"/>
    <w:lvl w:ilvl="0">
      <w:start w:val="1"/>
      <w:numFmt w:val="decimal"/>
      <w:lvlText w:val="%1"/>
      <w:lvlJc w:val="left"/>
      <w:pPr>
        <w:tabs>
          <w:tab w:val="num" w:pos="612"/>
        </w:tabs>
        <w:ind w:left="61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1E011AD"/>
    <w:multiLevelType w:val="hybridMultilevel"/>
    <w:tmpl w:val="7BD07488"/>
    <w:lvl w:ilvl="0" w:tplc="F8520802">
      <w:start w:val="1"/>
      <w:numFmt w:val="decimal"/>
      <w:lvlText w:val="%1."/>
      <w:lvlJc w:val="left"/>
      <w:pPr>
        <w:tabs>
          <w:tab w:val="num" w:pos="360"/>
        </w:tabs>
        <w:ind w:left="360" w:hanging="360"/>
      </w:pPr>
    </w:lvl>
    <w:lvl w:ilvl="1" w:tplc="994EE972" w:tentative="1">
      <w:start w:val="1"/>
      <w:numFmt w:val="lowerLetter"/>
      <w:lvlText w:val="%2."/>
      <w:lvlJc w:val="left"/>
      <w:pPr>
        <w:tabs>
          <w:tab w:val="num" w:pos="1440"/>
        </w:tabs>
        <w:ind w:left="1440" w:hanging="360"/>
      </w:pPr>
    </w:lvl>
    <w:lvl w:ilvl="2" w:tplc="7250EFDA" w:tentative="1">
      <w:start w:val="1"/>
      <w:numFmt w:val="lowerRoman"/>
      <w:lvlText w:val="%3."/>
      <w:lvlJc w:val="right"/>
      <w:pPr>
        <w:tabs>
          <w:tab w:val="num" w:pos="2160"/>
        </w:tabs>
        <w:ind w:left="2160" w:hanging="180"/>
      </w:pPr>
    </w:lvl>
    <w:lvl w:ilvl="3" w:tplc="1952A0D8" w:tentative="1">
      <w:start w:val="1"/>
      <w:numFmt w:val="decimal"/>
      <w:lvlText w:val="%4."/>
      <w:lvlJc w:val="left"/>
      <w:pPr>
        <w:tabs>
          <w:tab w:val="num" w:pos="2880"/>
        </w:tabs>
        <w:ind w:left="2880" w:hanging="360"/>
      </w:pPr>
    </w:lvl>
    <w:lvl w:ilvl="4" w:tplc="F7925EBE" w:tentative="1">
      <w:start w:val="1"/>
      <w:numFmt w:val="lowerLetter"/>
      <w:lvlText w:val="%5."/>
      <w:lvlJc w:val="left"/>
      <w:pPr>
        <w:tabs>
          <w:tab w:val="num" w:pos="3600"/>
        </w:tabs>
        <w:ind w:left="3600" w:hanging="360"/>
      </w:pPr>
    </w:lvl>
    <w:lvl w:ilvl="5" w:tplc="F6CEDBDC" w:tentative="1">
      <w:start w:val="1"/>
      <w:numFmt w:val="lowerRoman"/>
      <w:lvlText w:val="%6."/>
      <w:lvlJc w:val="right"/>
      <w:pPr>
        <w:tabs>
          <w:tab w:val="num" w:pos="4320"/>
        </w:tabs>
        <w:ind w:left="4320" w:hanging="180"/>
      </w:pPr>
    </w:lvl>
    <w:lvl w:ilvl="6" w:tplc="1BE6B526" w:tentative="1">
      <w:start w:val="1"/>
      <w:numFmt w:val="decimal"/>
      <w:lvlText w:val="%7."/>
      <w:lvlJc w:val="left"/>
      <w:pPr>
        <w:tabs>
          <w:tab w:val="num" w:pos="5040"/>
        </w:tabs>
        <w:ind w:left="5040" w:hanging="360"/>
      </w:pPr>
    </w:lvl>
    <w:lvl w:ilvl="7" w:tplc="10DE78EE" w:tentative="1">
      <w:start w:val="1"/>
      <w:numFmt w:val="lowerLetter"/>
      <w:lvlText w:val="%8."/>
      <w:lvlJc w:val="left"/>
      <w:pPr>
        <w:tabs>
          <w:tab w:val="num" w:pos="5760"/>
        </w:tabs>
        <w:ind w:left="5760" w:hanging="360"/>
      </w:pPr>
    </w:lvl>
    <w:lvl w:ilvl="8" w:tplc="E25EE2DC" w:tentative="1">
      <w:start w:val="1"/>
      <w:numFmt w:val="lowerRoman"/>
      <w:lvlText w:val="%9."/>
      <w:lvlJc w:val="right"/>
      <w:pPr>
        <w:tabs>
          <w:tab w:val="num" w:pos="6480"/>
        </w:tabs>
        <w:ind w:left="6480" w:hanging="180"/>
      </w:pPr>
    </w:lvl>
  </w:abstractNum>
  <w:abstractNum w:abstractNumId="16" w15:restartNumberingAfterBreak="0">
    <w:nsid w:val="6D245E82"/>
    <w:multiLevelType w:val="singleLevel"/>
    <w:tmpl w:val="0C09000F"/>
    <w:lvl w:ilvl="0">
      <w:start w:val="1"/>
      <w:numFmt w:val="decimal"/>
      <w:lvlText w:val="%1."/>
      <w:lvlJc w:val="left"/>
      <w:pPr>
        <w:tabs>
          <w:tab w:val="num" w:pos="360"/>
        </w:tabs>
        <w:ind w:left="360" w:hanging="360"/>
      </w:pPr>
      <w:rPr>
        <w:rFonts w:hint="default"/>
      </w:rPr>
    </w:lvl>
  </w:abstractNum>
  <w:abstractNum w:abstractNumId="17" w15:restartNumberingAfterBreak="0">
    <w:nsid w:val="72963E98"/>
    <w:multiLevelType w:val="hybridMultilevel"/>
    <w:tmpl w:val="C3F40B1E"/>
    <w:lvl w:ilvl="0" w:tplc="F914FD3E">
      <w:start w:val="1"/>
      <w:numFmt w:val="decimal"/>
      <w:lvlText w:val="%1."/>
      <w:lvlJc w:val="left"/>
      <w:pPr>
        <w:tabs>
          <w:tab w:val="num" w:pos="720"/>
        </w:tabs>
        <w:ind w:left="720" w:hanging="360"/>
      </w:pPr>
      <w:rPr>
        <w:rFonts w:hint="default"/>
      </w:rPr>
    </w:lvl>
    <w:lvl w:ilvl="1" w:tplc="F6E0781E">
      <w:numFmt w:val="none"/>
      <w:lvlText w:val=""/>
      <w:lvlJc w:val="left"/>
      <w:pPr>
        <w:tabs>
          <w:tab w:val="num" w:pos="360"/>
        </w:tabs>
      </w:pPr>
    </w:lvl>
    <w:lvl w:ilvl="2" w:tplc="AD90E592">
      <w:numFmt w:val="none"/>
      <w:lvlText w:val=""/>
      <w:lvlJc w:val="left"/>
      <w:pPr>
        <w:tabs>
          <w:tab w:val="num" w:pos="360"/>
        </w:tabs>
      </w:pPr>
    </w:lvl>
    <w:lvl w:ilvl="3" w:tplc="AD980E1C">
      <w:numFmt w:val="none"/>
      <w:lvlText w:val=""/>
      <w:lvlJc w:val="left"/>
      <w:pPr>
        <w:tabs>
          <w:tab w:val="num" w:pos="360"/>
        </w:tabs>
      </w:pPr>
    </w:lvl>
    <w:lvl w:ilvl="4" w:tplc="BE2A0192">
      <w:numFmt w:val="none"/>
      <w:lvlText w:val=""/>
      <w:lvlJc w:val="left"/>
      <w:pPr>
        <w:tabs>
          <w:tab w:val="num" w:pos="360"/>
        </w:tabs>
      </w:pPr>
    </w:lvl>
    <w:lvl w:ilvl="5" w:tplc="77E4FE68">
      <w:numFmt w:val="none"/>
      <w:lvlText w:val=""/>
      <w:lvlJc w:val="left"/>
      <w:pPr>
        <w:tabs>
          <w:tab w:val="num" w:pos="360"/>
        </w:tabs>
      </w:pPr>
    </w:lvl>
    <w:lvl w:ilvl="6" w:tplc="62084AA2">
      <w:numFmt w:val="none"/>
      <w:lvlText w:val=""/>
      <w:lvlJc w:val="left"/>
      <w:pPr>
        <w:tabs>
          <w:tab w:val="num" w:pos="360"/>
        </w:tabs>
      </w:pPr>
    </w:lvl>
    <w:lvl w:ilvl="7" w:tplc="99B64078">
      <w:numFmt w:val="none"/>
      <w:lvlText w:val=""/>
      <w:lvlJc w:val="left"/>
      <w:pPr>
        <w:tabs>
          <w:tab w:val="num" w:pos="360"/>
        </w:tabs>
      </w:pPr>
    </w:lvl>
    <w:lvl w:ilvl="8" w:tplc="CED45362">
      <w:numFmt w:val="none"/>
      <w:lvlText w:val=""/>
      <w:lvlJc w:val="left"/>
      <w:pPr>
        <w:tabs>
          <w:tab w:val="num" w:pos="360"/>
        </w:tabs>
      </w:pPr>
    </w:lvl>
  </w:abstractNum>
  <w:abstractNum w:abstractNumId="18" w15:restartNumberingAfterBreak="0">
    <w:nsid w:val="731C566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9D06C4"/>
    <w:multiLevelType w:val="hybridMultilevel"/>
    <w:tmpl w:val="67C464C2"/>
    <w:lvl w:ilvl="0" w:tplc="BAE8E0F4">
      <w:start w:val="1"/>
      <w:numFmt w:val="decimal"/>
      <w:lvlText w:val="%1."/>
      <w:lvlJc w:val="left"/>
      <w:pPr>
        <w:tabs>
          <w:tab w:val="num" w:pos="360"/>
        </w:tabs>
        <w:ind w:left="360" w:hanging="360"/>
      </w:pPr>
    </w:lvl>
    <w:lvl w:ilvl="1" w:tplc="7E8AF610" w:tentative="1">
      <w:start w:val="1"/>
      <w:numFmt w:val="lowerLetter"/>
      <w:lvlText w:val="%2."/>
      <w:lvlJc w:val="left"/>
      <w:pPr>
        <w:tabs>
          <w:tab w:val="num" w:pos="1440"/>
        </w:tabs>
        <w:ind w:left="1440" w:hanging="360"/>
      </w:pPr>
    </w:lvl>
    <w:lvl w:ilvl="2" w:tplc="4A36466C" w:tentative="1">
      <w:start w:val="1"/>
      <w:numFmt w:val="lowerRoman"/>
      <w:lvlText w:val="%3."/>
      <w:lvlJc w:val="right"/>
      <w:pPr>
        <w:tabs>
          <w:tab w:val="num" w:pos="2160"/>
        </w:tabs>
        <w:ind w:left="2160" w:hanging="180"/>
      </w:pPr>
    </w:lvl>
    <w:lvl w:ilvl="3" w:tplc="1C0C66D4" w:tentative="1">
      <w:start w:val="1"/>
      <w:numFmt w:val="decimal"/>
      <w:lvlText w:val="%4."/>
      <w:lvlJc w:val="left"/>
      <w:pPr>
        <w:tabs>
          <w:tab w:val="num" w:pos="2880"/>
        </w:tabs>
        <w:ind w:left="2880" w:hanging="360"/>
      </w:pPr>
    </w:lvl>
    <w:lvl w:ilvl="4" w:tplc="398E69B0" w:tentative="1">
      <w:start w:val="1"/>
      <w:numFmt w:val="lowerLetter"/>
      <w:lvlText w:val="%5."/>
      <w:lvlJc w:val="left"/>
      <w:pPr>
        <w:tabs>
          <w:tab w:val="num" w:pos="3600"/>
        </w:tabs>
        <w:ind w:left="3600" w:hanging="360"/>
      </w:pPr>
    </w:lvl>
    <w:lvl w:ilvl="5" w:tplc="0DDC2000" w:tentative="1">
      <w:start w:val="1"/>
      <w:numFmt w:val="lowerRoman"/>
      <w:lvlText w:val="%6."/>
      <w:lvlJc w:val="right"/>
      <w:pPr>
        <w:tabs>
          <w:tab w:val="num" w:pos="4320"/>
        </w:tabs>
        <w:ind w:left="4320" w:hanging="180"/>
      </w:pPr>
    </w:lvl>
    <w:lvl w:ilvl="6" w:tplc="0A409628" w:tentative="1">
      <w:start w:val="1"/>
      <w:numFmt w:val="decimal"/>
      <w:lvlText w:val="%7."/>
      <w:lvlJc w:val="left"/>
      <w:pPr>
        <w:tabs>
          <w:tab w:val="num" w:pos="5040"/>
        </w:tabs>
        <w:ind w:left="5040" w:hanging="360"/>
      </w:pPr>
    </w:lvl>
    <w:lvl w:ilvl="7" w:tplc="06BA5332" w:tentative="1">
      <w:start w:val="1"/>
      <w:numFmt w:val="lowerLetter"/>
      <w:lvlText w:val="%8."/>
      <w:lvlJc w:val="left"/>
      <w:pPr>
        <w:tabs>
          <w:tab w:val="num" w:pos="5760"/>
        </w:tabs>
        <w:ind w:left="5760" w:hanging="360"/>
      </w:pPr>
    </w:lvl>
    <w:lvl w:ilvl="8" w:tplc="16B81190" w:tentative="1">
      <w:start w:val="1"/>
      <w:numFmt w:val="lowerRoman"/>
      <w:lvlText w:val="%9."/>
      <w:lvlJc w:val="right"/>
      <w:pPr>
        <w:tabs>
          <w:tab w:val="num" w:pos="6480"/>
        </w:tabs>
        <w:ind w:left="6480" w:hanging="180"/>
      </w:pPr>
    </w:lvl>
  </w:abstractNum>
  <w:abstractNum w:abstractNumId="20" w15:restartNumberingAfterBreak="0">
    <w:nsid w:val="7CD37A2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4042312">
    <w:abstractNumId w:val="17"/>
  </w:num>
  <w:num w:numId="2" w16cid:durableId="1862433942">
    <w:abstractNumId w:val="4"/>
  </w:num>
  <w:num w:numId="3" w16cid:durableId="744961341">
    <w:abstractNumId w:val="16"/>
  </w:num>
  <w:num w:numId="4" w16cid:durableId="1252276410">
    <w:abstractNumId w:val="12"/>
  </w:num>
  <w:num w:numId="5" w16cid:durableId="220335940">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6" w16cid:durableId="2018458636">
    <w:abstractNumId w:val="15"/>
  </w:num>
  <w:num w:numId="7" w16cid:durableId="1517575406">
    <w:abstractNumId w:val="19"/>
  </w:num>
  <w:num w:numId="8" w16cid:durableId="2047366414">
    <w:abstractNumId w:val="14"/>
  </w:num>
  <w:num w:numId="9" w16cid:durableId="191843533">
    <w:abstractNumId w:val="6"/>
  </w:num>
  <w:num w:numId="10" w16cid:durableId="851530768">
    <w:abstractNumId w:val="10"/>
  </w:num>
  <w:num w:numId="11" w16cid:durableId="876548525">
    <w:abstractNumId w:val="13"/>
  </w:num>
  <w:num w:numId="12" w16cid:durableId="836455797">
    <w:abstractNumId w:val="1"/>
  </w:num>
  <w:num w:numId="13" w16cid:durableId="1206335330">
    <w:abstractNumId w:val="2"/>
  </w:num>
  <w:num w:numId="14" w16cid:durableId="80176836">
    <w:abstractNumId w:val="18"/>
  </w:num>
  <w:num w:numId="15" w16cid:durableId="1719664748">
    <w:abstractNumId w:val="20"/>
  </w:num>
  <w:num w:numId="16" w16cid:durableId="58868620">
    <w:abstractNumId w:val="7"/>
  </w:num>
  <w:num w:numId="17" w16cid:durableId="487133300">
    <w:abstractNumId w:val="9"/>
  </w:num>
  <w:num w:numId="18" w16cid:durableId="603802585">
    <w:abstractNumId w:val="11"/>
  </w:num>
  <w:num w:numId="19" w16cid:durableId="1233082792">
    <w:abstractNumId w:val="5"/>
  </w:num>
  <w:num w:numId="20" w16cid:durableId="2085637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1063867">
    <w:abstractNumId w:val="3"/>
  </w:num>
  <w:num w:numId="22" w16cid:durableId="1867015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AA"/>
    <w:rsid w:val="00000560"/>
    <w:rsid w:val="0001200B"/>
    <w:rsid w:val="0001248B"/>
    <w:rsid w:val="00013D52"/>
    <w:rsid w:val="00015FB9"/>
    <w:rsid w:val="0003031C"/>
    <w:rsid w:val="000346B9"/>
    <w:rsid w:val="00036F6E"/>
    <w:rsid w:val="0006480E"/>
    <w:rsid w:val="00074526"/>
    <w:rsid w:val="0008445F"/>
    <w:rsid w:val="00085EE3"/>
    <w:rsid w:val="000A0258"/>
    <w:rsid w:val="000A09A5"/>
    <w:rsid w:val="000A5E63"/>
    <w:rsid w:val="000B5274"/>
    <w:rsid w:val="000B71CB"/>
    <w:rsid w:val="000C23D1"/>
    <w:rsid w:val="000D2606"/>
    <w:rsid w:val="000D34A7"/>
    <w:rsid w:val="000E6D67"/>
    <w:rsid w:val="000F7F46"/>
    <w:rsid w:val="001033AB"/>
    <w:rsid w:val="00111FA6"/>
    <w:rsid w:val="00133D1B"/>
    <w:rsid w:val="001358E7"/>
    <w:rsid w:val="00135EC4"/>
    <w:rsid w:val="00144A80"/>
    <w:rsid w:val="00152E66"/>
    <w:rsid w:val="00155D24"/>
    <w:rsid w:val="00166D24"/>
    <w:rsid w:val="00171310"/>
    <w:rsid w:val="00195393"/>
    <w:rsid w:val="0019622E"/>
    <w:rsid w:val="001A4789"/>
    <w:rsid w:val="001B3B26"/>
    <w:rsid w:val="001B3C15"/>
    <w:rsid w:val="001C6591"/>
    <w:rsid w:val="001C760A"/>
    <w:rsid w:val="001D7934"/>
    <w:rsid w:val="001E6BC2"/>
    <w:rsid w:val="001F2CF8"/>
    <w:rsid w:val="001F4B82"/>
    <w:rsid w:val="00201CAC"/>
    <w:rsid w:val="00203A18"/>
    <w:rsid w:val="0020525D"/>
    <w:rsid w:val="002065DF"/>
    <w:rsid w:val="00215797"/>
    <w:rsid w:val="00235BCD"/>
    <w:rsid w:val="002430E3"/>
    <w:rsid w:val="0024552A"/>
    <w:rsid w:val="00260C52"/>
    <w:rsid w:val="002613DA"/>
    <w:rsid w:val="002614C9"/>
    <w:rsid w:val="00263BE5"/>
    <w:rsid w:val="00270E55"/>
    <w:rsid w:val="00271A29"/>
    <w:rsid w:val="002809E0"/>
    <w:rsid w:val="002A6886"/>
    <w:rsid w:val="002A69F2"/>
    <w:rsid w:val="002A72EF"/>
    <w:rsid w:val="002B2702"/>
    <w:rsid w:val="002B38B5"/>
    <w:rsid w:val="002B64A8"/>
    <w:rsid w:val="002C2C0C"/>
    <w:rsid w:val="002C6459"/>
    <w:rsid w:val="002D34CD"/>
    <w:rsid w:val="002D6D65"/>
    <w:rsid w:val="002E23F6"/>
    <w:rsid w:val="002E4018"/>
    <w:rsid w:val="002E6F29"/>
    <w:rsid w:val="002F008E"/>
    <w:rsid w:val="002F6EEF"/>
    <w:rsid w:val="002F715A"/>
    <w:rsid w:val="003011DE"/>
    <w:rsid w:val="003031DA"/>
    <w:rsid w:val="00303F26"/>
    <w:rsid w:val="00333267"/>
    <w:rsid w:val="00352A8E"/>
    <w:rsid w:val="003609CD"/>
    <w:rsid w:val="003619DD"/>
    <w:rsid w:val="00362083"/>
    <w:rsid w:val="00363C48"/>
    <w:rsid w:val="00367F4C"/>
    <w:rsid w:val="00372BBF"/>
    <w:rsid w:val="00373057"/>
    <w:rsid w:val="00380AB7"/>
    <w:rsid w:val="00381569"/>
    <w:rsid w:val="00382A73"/>
    <w:rsid w:val="0038541C"/>
    <w:rsid w:val="0039120B"/>
    <w:rsid w:val="003A0764"/>
    <w:rsid w:val="003A1758"/>
    <w:rsid w:val="003A604F"/>
    <w:rsid w:val="003C008C"/>
    <w:rsid w:val="003C06E5"/>
    <w:rsid w:val="003C30A3"/>
    <w:rsid w:val="003C3114"/>
    <w:rsid w:val="003C657D"/>
    <w:rsid w:val="003D05D8"/>
    <w:rsid w:val="003D2875"/>
    <w:rsid w:val="003D657F"/>
    <w:rsid w:val="003E2F69"/>
    <w:rsid w:val="003F4731"/>
    <w:rsid w:val="00403820"/>
    <w:rsid w:val="0040587C"/>
    <w:rsid w:val="00420489"/>
    <w:rsid w:val="004315EC"/>
    <w:rsid w:val="0043410C"/>
    <w:rsid w:val="00445129"/>
    <w:rsid w:val="00454EBF"/>
    <w:rsid w:val="004558AF"/>
    <w:rsid w:val="00457C6F"/>
    <w:rsid w:val="00457E97"/>
    <w:rsid w:val="0047581B"/>
    <w:rsid w:val="00485DDB"/>
    <w:rsid w:val="00492B26"/>
    <w:rsid w:val="004A17A1"/>
    <w:rsid w:val="004B2546"/>
    <w:rsid w:val="004B5079"/>
    <w:rsid w:val="004C3DB3"/>
    <w:rsid w:val="004C5238"/>
    <w:rsid w:val="004E10DC"/>
    <w:rsid w:val="004E6289"/>
    <w:rsid w:val="004F4935"/>
    <w:rsid w:val="004F7952"/>
    <w:rsid w:val="00503CBB"/>
    <w:rsid w:val="00506BDF"/>
    <w:rsid w:val="0053405D"/>
    <w:rsid w:val="005417D0"/>
    <w:rsid w:val="00546103"/>
    <w:rsid w:val="00566CA4"/>
    <w:rsid w:val="00570743"/>
    <w:rsid w:val="00570FAA"/>
    <w:rsid w:val="005728D9"/>
    <w:rsid w:val="00573E8F"/>
    <w:rsid w:val="00575115"/>
    <w:rsid w:val="005764A8"/>
    <w:rsid w:val="00584991"/>
    <w:rsid w:val="00592F19"/>
    <w:rsid w:val="00595B8D"/>
    <w:rsid w:val="0059794F"/>
    <w:rsid w:val="005A5E01"/>
    <w:rsid w:val="005B1188"/>
    <w:rsid w:val="005B27BD"/>
    <w:rsid w:val="005B3CF3"/>
    <w:rsid w:val="005B4E72"/>
    <w:rsid w:val="005B6900"/>
    <w:rsid w:val="005B7EC3"/>
    <w:rsid w:val="005C0639"/>
    <w:rsid w:val="005C3921"/>
    <w:rsid w:val="005C62C7"/>
    <w:rsid w:val="005C65C8"/>
    <w:rsid w:val="005D0044"/>
    <w:rsid w:val="005D10F4"/>
    <w:rsid w:val="005D44D4"/>
    <w:rsid w:val="005D6F30"/>
    <w:rsid w:val="005E1AEB"/>
    <w:rsid w:val="005F400B"/>
    <w:rsid w:val="00602C00"/>
    <w:rsid w:val="00602F87"/>
    <w:rsid w:val="006376E4"/>
    <w:rsid w:val="0064366E"/>
    <w:rsid w:val="00651336"/>
    <w:rsid w:val="00656C2D"/>
    <w:rsid w:val="0067189A"/>
    <w:rsid w:val="0069509C"/>
    <w:rsid w:val="00695909"/>
    <w:rsid w:val="006A0612"/>
    <w:rsid w:val="006C1047"/>
    <w:rsid w:val="006D1835"/>
    <w:rsid w:val="006E1FD2"/>
    <w:rsid w:val="006E23E6"/>
    <w:rsid w:val="0070390F"/>
    <w:rsid w:val="0070411F"/>
    <w:rsid w:val="00710C31"/>
    <w:rsid w:val="00717475"/>
    <w:rsid w:val="007210C9"/>
    <w:rsid w:val="00734B5F"/>
    <w:rsid w:val="0074639A"/>
    <w:rsid w:val="007468EF"/>
    <w:rsid w:val="007528C9"/>
    <w:rsid w:val="00770ED1"/>
    <w:rsid w:val="007720FA"/>
    <w:rsid w:val="00776D79"/>
    <w:rsid w:val="007825AA"/>
    <w:rsid w:val="007931A3"/>
    <w:rsid w:val="0079548C"/>
    <w:rsid w:val="007A33C0"/>
    <w:rsid w:val="007A5355"/>
    <w:rsid w:val="007B3DC9"/>
    <w:rsid w:val="007C3143"/>
    <w:rsid w:val="007C50D7"/>
    <w:rsid w:val="007C7E74"/>
    <w:rsid w:val="007D4091"/>
    <w:rsid w:val="007D56A3"/>
    <w:rsid w:val="007E42E1"/>
    <w:rsid w:val="007E455E"/>
    <w:rsid w:val="007E6DE0"/>
    <w:rsid w:val="007F2857"/>
    <w:rsid w:val="007F32D4"/>
    <w:rsid w:val="007F59B7"/>
    <w:rsid w:val="007F6EB1"/>
    <w:rsid w:val="00807FD4"/>
    <w:rsid w:val="00812445"/>
    <w:rsid w:val="00820C9B"/>
    <w:rsid w:val="00831531"/>
    <w:rsid w:val="0083511C"/>
    <w:rsid w:val="00835E24"/>
    <w:rsid w:val="008418EC"/>
    <w:rsid w:val="0085553C"/>
    <w:rsid w:val="00856EDD"/>
    <w:rsid w:val="008607EB"/>
    <w:rsid w:val="00865D59"/>
    <w:rsid w:val="0086648C"/>
    <w:rsid w:val="00874D71"/>
    <w:rsid w:val="00883D3C"/>
    <w:rsid w:val="00890406"/>
    <w:rsid w:val="0089264E"/>
    <w:rsid w:val="008A3107"/>
    <w:rsid w:val="008B6D61"/>
    <w:rsid w:val="008C3EE9"/>
    <w:rsid w:val="008D6BEF"/>
    <w:rsid w:val="008F1BB7"/>
    <w:rsid w:val="0090372E"/>
    <w:rsid w:val="00903AC3"/>
    <w:rsid w:val="00920569"/>
    <w:rsid w:val="009305F3"/>
    <w:rsid w:val="009424BA"/>
    <w:rsid w:val="009441AA"/>
    <w:rsid w:val="009531F6"/>
    <w:rsid w:val="00961E90"/>
    <w:rsid w:val="009629C5"/>
    <w:rsid w:val="0097304C"/>
    <w:rsid w:val="0098687B"/>
    <w:rsid w:val="009C4E2D"/>
    <w:rsid w:val="009C5B9E"/>
    <w:rsid w:val="009D1C37"/>
    <w:rsid w:val="009D2146"/>
    <w:rsid w:val="009E027A"/>
    <w:rsid w:val="00A1043B"/>
    <w:rsid w:val="00A27D8E"/>
    <w:rsid w:val="00A3244A"/>
    <w:rsid w:val="00A36155"/>
    <w:rsid w:val="00A43CB8"/>
    <w:rsid w:val="00A703F6"/>
    <w:rsid w:val="00A71B80"/>
    <w:rsid w:val="00A72C6D"/>
    <w:rsid w:val="00A76464"/>
    <w:rsid w:val="00A82D4F"/>
    <w:rsid w:val="00A841E0"/>
    <w:rsid w:val="00A91D94"/>
    <w:rsid w:val="00A92B13"/>
    <w:rsid w:val="00AA17FA"/>
    <w:rsid w:val="00AA3F55"/>
    <w:rsid w:val="00AB649C"/>
    <w:rsid w:val="00AC3530"/>
    <w:rsid w:val="00AD344B"/>
    <w:rsid w:val="00AD36B5"/>
    <w:rsid w:val="00B15A10"/>
    <w:rsid w:val="00B23D37"/>
    <w:rsid w:val="00B23E61"/>
    <w:rsid w:val="00B247CF"/>
    <w:rsid w:val="00B25EE8"/>
    <w:rsid w:val="00B31FB2"/>
    <w:rsid w:val="00B32E20"/>
    <w:rsid w:val="00B57EF9"/>
    <w:rsid w:val="00B929A4"/>
    <w:rsid w:val="00BA466F"/>
    <w:rsid w:val="00BB79A3"/>
    <w:rsid w:val="00BC0011"/>
    <w:rsid w:val="00BC3C3C"/>
    <w:rsid w:val="00BC5F9C"/>
    <w:rsid w:val="00BD4827"/>
    <w:rsid w:val="00BE45E5"/>
    <w:rsid w:val="00BF06D5"/>
    <w:rsid w:val="00BF6055"/>
    <w:rsid w:val="00C031DE"/>
    <w:rsid w:val="00C119CA"/>
    <w:rsid w:val="00C12EBC"/>
    <w:rsid w:val="00C15D44"/>
    <w:rsid w:val="00C206FB"/>
    <w:rsid w:val="00C20D26"/>
    <w:rsid w:val="00C2422B"/>
    <w:rsid w:val="00C2496B"/>
    <w:rsid w:val="00C306FC"/>
    <w:rsid w:val="00C530D2"/>
    <w:rsid w:val="00C65D09"/>
    <w:rsid w:val="00C72D08"/>
    <w:rsid w:val="00C7327D"/>
    <w:rsid w:val="00C858D6"/>
    <w:rsid w:val="00C873A3"/>
    <w:rsid w:val="00CA1C0C"/>
    <w:rsid w:val="00CA449B"/>
    <w:rsid w:val="00CA4958"/>
    <w:rsid w:val="00CB336B"/>
    <w:rsid w:val="00CC03F2"/>
    <w:rsid w:val="00CD5951"/>
    <w:rsid w:val="00CE2425"/>
    <w:rsid w:val="00CE2C6D"/>
    <w:rsid w:val="00CE3CA8"/>
    <w:rsid w:val="00CE5239"/>
    <w:rsid w:val="00CF623D"/>
    <w:rsid w:val="00CF7369"/>
    <w:rsid w:val="00D01461"/>
    <w:rsid w:val="00D07E9D"/>
    <w:rsid w:val="00D22F2E"/>
    <w:rsid w:val="00D2500A"/>
    <w:rsid w:val="00D311B6"/>
    <w:rsid w:val="00D321D2"/>
    <w:rsid w:val="00D4011F"/>
    <w:rsid w:val="00D44C65"/>
    <w:rsid w:val="00D4774A"/>
    <w:rsid w:val="00D5084C"/>
    <w:rsid w:val="00D51615"/>
    <w:rsid w:val="00D5467A"/>
    <w:rsid w:val="00D70B98"/>
    <w:rsid w:val="00D84B89"/>
    <w:rsid w:val="00D923D8"/>
    <w:rsid w:val="00DA2C44"/>
    <w:rsid w:val="00DB14E9"/>
    <w:rsid w:val="00DB1E2F"/>
    <w:rsid w:val="00DB2CF4"/>
    <w:rsid w:val="00DC31FA"/>
    <w:rsid w:val="00DC7DC7"/>
    <w:rsid w:val="00DE379C"/>
    <w:rsid w:val="00DE402D"/>
    <w:rsid w:val="00E01E9B"/>
    <w:rsid w:val="00E103AA"/>
    <w:rsid w:val="00E13394"/>
    <w:rsid w:val="00E34D57"/>
    <w:rsid w:val="00E60507"/>
    <w:rsid w:val="00E7117C"/>
    <w:rsid w:val="00E80740"/>
    <w:rsid w:val="00E80A74"/>
    <w:rsid w:val="00EA62BC"/>
    <w:rsid w:val="00EB0CE0"/>
    <w:rsid w:val="00EB4DAB"/>
    <w:rsid w:val="00EE2936"/>
    <w:rsid w:val="00EE32CE"/>
    <w:rsid w:val="00EF38EE"/>
    <w:rsid w:val="00EF71E8"/>
    <w:rsid w:val="00F11F38"/>
    <w:rsid w:val="00F146F8"/>
    <w:rsid w:val="00F1614A"/>
    <w:rsid w:val="00F25866"/>
    <w:rsid w:val="00F3548A"/>
    <w:rsid w:val="00F367D0"/>
    <w:rsid w:val="00F567A8"/>
    <w:rsid w:val="00F76571"/>
    <w:rsid w:val="00F84C9D"/>
    <w:rsid w:val="00F86F0E"/>
    <w:rsid w:val="00F9795C"/>
    <w:rsid w:val="00FA16E2"/>
    <w:rsid w:val="00FA3173"/>
    <w:rsid w:val="00FA7643"/>
    <w:rsid w:val="00FB4019"/>
    <w:rsid w:val="00FB4EF0"/>
    <w:rsid w:val="00FC0CAA"/>
    <w:rsid w:val="00FC1B19"/>
    <w:rsid w:val="00FC1F3D"/>
    <w:rsid w:val="00FC345F"/>
    <w:rsid w:val="00FC7091"/>
    <w:rsid w:val="00FD04E7"/>
    <w:rsid w:val="00FD0D09"/>
    <w:rsid w:val="00FD0F10"/>
    <w:rsid w:val="00FF1205"/>
    <w:rsid w:val="00FF2E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C6687"/>
  <w15:docId w15:val="{0C721532-D3B5-4AED-A5AB-1E7DA0D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0D7"/>
    <w:rPr>
      <w:sz w:val="24"/>
      <w:szCs w:val="24"/>
      <w:lang w:eastAsia="en-US"/>
    </w:rPr>
  </w:style>
  <w:style w:type="paragraph" w:styleId="Heading1">
    <w:name w:val="heading 1"/>
    <w:basedOn w:val="Normal"/>
    <w:next w:val="Normal"/>
    <w:qFormat/>
    <w:rsid w:val="007C50D7"/>
    <w:pPr>
      <w:keepNext/>
      <w:jc w:val="both"/>
      <w:outlineLvl w:val="0"/>
    </w:pPr>
    <w:rPr>
      <w:b/>
      <w:bCs/>
    </w:rPr>
  </w:style>
  <w:style w:type="paragraph" w:styleId="Heading2">
    <w:name w:val="heading 2"/>
    <w:basedOn w:val="Normal"/>
    <w:next w:val="Normal"/>
    <w:qFormat/>
    <w:rsid w:val="007C50D7"/>
    <w:pPr>
      <w:keepNext/>
      <w:outlineLvl w:val="1"/>
    </w:pPr>
    <w:rPr>
      <w:rFonts w:ascii="Times Roman" w:hAnsi="Times Roman"/>
      <w:b/>
      <w:bCs/>
    </w:rPr>
  </w:style>
  <w:style w:type="paragraph" w:styleId="Heading3">
    <w:name w:val="heading 3"/>
    <w:basedOn w:val="Normal"/>
    <w:next w:val="Normal"/>
    <w:qFormat/>
    <w:rsid w:val="007C50D7"/>
    <w:pPr>
      <w:keepNext/>
      <w:tabs>
        <w:tab w:val="left" w:pos="300"/>
        <w:tab w:val="left" w:pos="600"/>
        <w:tab w:val="left" w:pos="9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outlineLvl w:val="2"/>
    </w:pPr>
    <w:rPr>
      <w:rFonts w:ascii="CG Times (WN)" w:hAnsi="CG Times (W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0D7"/>
    <w:pPr>
      <w:tabs>
        <w:tab w:val="center" w:pos="4320"/>
        <w:tab w:val="right" w:pos="8640"/>
      </w:tabs>
    </w:pPr>
  </w:style>
  <w:style w:type="character" w:styleId="PageNumber">
    <w:name w:val="page number"/>
    <w:basedOn w:val="DefaultParagraphFont"/>
    <w:rsid w:val="007C50D7"/>
  </w:style>
  <w:style w:type="paragraph" w:styleId="BodyText">
    <w:name w:val="Body Text"/>
    <w:basedOn w:val="Normal"/>
    <w:rsid w:val="007C50D7"/>
    <w:pPr>
      <w:jc w:val="both"/>
    </w:pPr>
  </w:style>
  <w:style w:type="character" w:styleId="Hyperlink">
    <w:name w:val="Hyperlink"/>
    <w:rsid w:val="007C50D7"/>
    <w:rPr>
      <w:color w:val="0000FF"/>
      <w:u w:val="single"/>
    </w:rPr>
  </w:style>
  <w:style w:type="paragraph" w:styleId="BodyTextIndent">
    <w:name w:val="Body Text Indent"/>
    <w:basedOn w:val="Normal"/>
    <w:rsid w:val="007C50D7"/>
    <w:pPr>
      <w:numPr>
        <w:ilvl w:val="12"/>
      </w:numPr>
      <w:tabs>
        <w:tab w:val="left" w:pos="300"/>
        <w:tab w:val="left" w:pos="600"/>
        <w:tab w:val="left" w:pos="9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8" w:hanging="709"/>
      <w:jc w:val="both"/>
    </w:pPr>
    <w:rPr>
      <w:rFonts w:ascii="Times Roman" w:hAnsi="Times Roman"/>
    </w:rPr>
  </w:style>
  <w:style w:type="paragraph" w:styleId="Footer">
    <w:name w:val="footer"/>
    <w:basedOn w:val="Normal"/>
    <w:rsid w:val="007C50D7"/>
    <w:pPr>
      <w:tabs>
        <w:tab w:val="center" w:pos="4320"/>
        <w:tab w:val="right" w:pos="8640"/>
      </w:tabs>
      <w:autoSpaceDE w:val="0"/>
      <w:autoSpaceDN w:val="0"/>
    </w:pPr>
    <w:rPr>
      <w:rFonts w:ascii="CG Times (WN)" w:hAnsi="CG Times (WN)"/>
      <w:sz w:val="20"/>
      <w:lang w:val="en-GB"/>
    </w:rPr>
  </w:style>
  <w:style w:type="paragraph" w:customStyle="1" w:styleId="BodyText0">
    <w:name w:val="Body.Text"/>
    <w:basedOn w:val="Normal"/>
    <w:rsid w:val="007C50D7"/>
    <w:pPr>
      <w:autoSpaceDE w:val="0"/>
      <w:autoSpaceDN w:val="0"/>
      <w:jc w:val="both"/>
    </w:pPr>
    <w:rPr>
      <w:rFonts w:ascii="CG Times (WN)" w:hAnsi="CG Times (WN)"/>
      <w:sz w:val="20"/>
    </w:rPr>
  </w:style>
  <w:style w:type="character" w:styleId="CommentReference">
    <w:name w:val="annotation reference"/>
    <w:semiHidden/>
    <w:rsid w:val="007C50D7"/>
    <w:rPr>
      <w:sz w:val="16"/>
      <w:szCs w:val="16"/>
    </w:rPr>
  </w:style>
  <w:style w:type="paragraph" w:styleId="CommentText">
    <w:name w:val="annotation text"/>
    <w:basedOn w:val="Normal"/>
    <w:link w:val="CommentTextChar"/>
    <w:semiHidden/>
    <w:rsid w:val="007C50D7"/>
    <w:pPr>
      <w:autoSpaceDE w:val="0"/>
      <w:autoSpaceDN w:val="0"/>
    </w:pPr>
    <w:rPr>
      <w:rFonts w:ascii="CG Times (WN)" w:hAnsi="CG Times (WN)"/>
      <w:sz w:val="20"/>
      <w:lang w:val="en-GB"/>
    </w:rPr>
  </w:style>
  <w:style w:type="paragraph" w:styleId="BalloonText">
    <w:name w:val="Balloon Text"/>
    <w:basedOn w:val="Normal"/>
    <w:semiHidden/>
    <w:rsid w:val="007C50D7"/>
    <w:rPr>
      <w:rFonts w:ascii="Tahoma" w:hAnsi="Tahoma" w:cs="Tahoma"/>
      <w:sz w:val="16"/>
      <w:szCs w:val="16"/>
    </w:rPr>
  </w:style>
  <w:style w:type="paragraph" w:customStyle="1" w:styleId="Tabelitekst">
    <w:name w:val="Tabelitekst"/>
    <w:basedOn w:val="Normal"/>
    <w:rsid w:val="00D5467A"/>
    <w:pPr>
      <w:tabs>
        <w:tab w:val="left" w:pos="400"/>
        <w:tab w:val="right" w:pos="7228"/>
      </w:tabs>
      <w:autoSpaceDE w:val="0"/>
      <w:autoSpaceDN w:val="0"/>
      <w:adjustRightInd w:val="0"/>
      <w:spacing w:line="280" w:lineRule="atLeast"/>
      <w:ind w:left="113" w:right="85"/>
      <w:textAlignment w:val="center"/>
    </w:pPr>
    <w:rPr>
      <w:rFonts w:ascii="Switzerland" w:hAnsi="Switzerland" w:cs="Switzerland"/>
      <w:color w:val="000000"/>
      <w:sz w:val="20"/>
      <w:szCs w:val="20"/>
      <w:lang w:eastAsia="et-EE"/>
    </w:rPr>
  </w:style>
  <w:style w:type="paragraph" w:styleId="CommentSubject">
    <w:name w:val="annotation subject"/>
    <w:basedOn w:val="CommentText"/>
    <w:next w:val="CommentText"/>
    <w:semiHidden/>
    <w:rsid w:val="007C50D7"/>
    <w:pPr>
      <w:autoSpaceDE/>
      <w:autoSpaceDN/>
    </w:pPr>
    <w:rPr>
      <w:rFonts w:ascii="Times New Roman" w:hAnsi="Times New Roman"/>
      <w:b/>
      <w:bCs/>
      <w:szCs w:val="20"/>
      <w:lang w:val="et-EE"/>
    </w:rPr>
  </w:style>
  <w:style w:type="character" w:styleId="Strong">
    <w:name w:val="Strong"/>
    <w:qFormat/>
    <w:rsid w:val="002F6EEF"/>
    <w:rPr>
      <w:b/>
      <w:bCs/>
    </w:rPr>
  </w:style>
  <w:style w:type="paragraph" w:styleId="ListParagraph">
    <w:name w:val="List Paragraph"/>
    <w:basedOn w:val="Normal"/>
    <w:uiPriority w:val="34"/>
    <w:qFormat/>
    <w:rsid w:val="00CE2425"/>
    <w:pPr>
      <w:ind w:left="720"/>
      <w:contextualSpacing/>
    </w:pPr>
  </w:style>
  <w:style w:type="table" w:styleId="TableGrid">
    <w:name w:val="Table Grid"/>
    <w:basedOn w:val="TableNormal"/>
    <w:uiPriority w:val="39"/>
    <w:rsid w:val="00CE2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9120B"/>
    <w:rPr>
      <w:sz w:val="24"/>
      <w:szCs w:val="24"/>
      <w:lang w:eastAsia="en-US"/>
    </w:rPr>
  </w:style>
  <w:style w:type="character" w:customStyle="1" w:styleId="CommentTextChar">
    <w:name w:val="Comment Text Char"/>
    <w:link w:val="CommentText"/>
    <w:semiHidden/>
    <w:rsid w:val="000A0258"/>
    <w:rPr>
      <w:rFonts w:ascii="CG Times (WN)" w:hAnsi="CG Times (WN)"/>
      <w:szCs w:val="24"/>
      <w:lang w:val="en-GB" w:eastAsia="en-US"/>
    </w:rPr>
  </w:style>
  <w:style w:type="paragraph" w:customStyle="1" w:styleId="Adressaat">
    <w:name w:val="Adressaat"/>
    <w:autoRedefine/>
    <w:qFormat/>
    <w:rsid w:val="0090372E"/>
    <w:rPr>
      <w:rFonts w:eastAsia="SimSun"/>
      <w:kern w:val="24"/>
      <w:sz w:val="24"/>
      <w:szCs w:val="24"/>
      <w:lang w:eastAsia="zh-CN" w:bidi="hi-IN"/>
    </w:rPr>
  </w:style>
  <w:style w:type="character" w:customStyle="1" w:styleId="Lahendamatamainimine1">
    <w:name w:val="Lahendamata mainimine1"/>
    <w:basedOn w:val="DefaultParagraphFont"/>
    <w:uiPriority w:val="99"/>
    <w:semiHidden/>
    <w:unhideWhenUsed/>
    <w:rsid w:val="00546103"/>
    <w:rPr>
      <w:color w:val="605E5C"/>
      <w:shd w:val="clear" w:color="auto" w:fill="E1DFDD"/>
    </w:rPr>
  </w:style>
  <w:style w:type="character" w:styleId="FollowedHyperlink">
    <w:name w:val="FollowedHyperlink"/>
    <w:basedOn w:val="DefaultParagraphFont"/>
    <w:semiHidden/>
    <w:unhideWhenUsed/>
    <w:rsid w:val="005461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1014">
      <w:bodyDiv w:val="1"/>
      <w:marLeft w:val="0"/>
      <w:marRight w:val="0"/>
      <w:marTop w:val="0"/>
      <w:marBottom w:val="0"/>
      <w:divBdr>
        <w:top w:val="none" w:sz="0" w:space="0" w:color="auto"/>
        <w:left w:val="none" w:sz="0" w:space="0" w:color="auto"/>
        <w:bottom w:val="none" w:sz="0" w:space="0" w:color="auto"/>
        <w:right w:val="none" w:sz="0" w:space="0" w:color="auto"/>
      </w:divBdr>
      <w:divsChild>
        <w:div w:id="110126890">
          <w:marLeft w:val="0"/>
          <w:marRight w:val="0"/>
          <w:marTop w:val="0"/>
          <w:marBottom w:val="0"/>
          <w:divBdr>
            <w:top w:val="none" w:sz="0" w:space="0" w:color="auto"/>
            <w:left w:val="none" w:sz="0" w:space="0" w:color="auto"/>
            <w:bottom w:val="none" w:sz="0" w:space="0" w:color="auto"/>
            <w:right w:val="none" w:sz="0" w:space="0" w:color="auto"/>
          </w:divBdr>
        </w:div>
        <w:div w:id="142084891">
          <w:marLeft w:val="0"/>
          <w:marRight w:val="0"/>
          <w:marTop w:val="0"/>
          <w:marBottom w:val="0"/>
          <w:divBdr>
            <w:top w:val="none" w:sz="0" w:space="0" w:color="auto"/>
            <w:left w:val="none" w:sz="0" w:space="0" w:color="auto"/>
            <w:bottom w:val="none" w:sz="0" w:space="0" w:color="auto"/>
            <w:right w:val="none" w:sz="0" w:space="0" w:color="auto"/>
          </w:divBdr>
        </w:div>
        <w:div w:id="397674577">
          <w:marLeft w:val="0"/>
          <w:marRight w:val="0"/>
          <w:marTop w:val="0"/>
          <w:marBottom w:val="0"/>
          <w:divBdr>
            <w:top w:val="none" w:sz="0" w:space="0" w:color="auto"/>
            <w:left w:val="none" w:sz="0" w:space="0" w:color="auto"/>
            <w:bottom w:val="none" w:sz="0" w:space="0" w:color="auto"/>
            <w:right w:val="none" w:sz="0" w:space="0" w:color="auto"/>
          </w:divBdr>
        </w:div>
        <w:div w:id="410858841">
          <w:marLeft w:val="0"/>
          <w:marRight w:val="0"/>
          <w:marTop w:val="0"/>
          <w:marBottom w:val="0"/>
          <w:divBdr>
            <w:top w:val="none" w:sz="0" w:space="0" w:color="auto"/>
            <w:left w:val="none" w:sz="0" w:space="0" w:color="auto"/>
            <w:bottom w:val="none" w:sz="0" w:space="0" w:color="auto"/>
            <w:right w:val="none" w:sz="0" w:space="0" w:color="auto"/>
          </w:divBdr>
        </w:div>
        <w:div w:id="667559626">
          <w:marLeft w:val="0"/>
          <w:marRight w:val="0"/>
          <w:marTop w:val="0"/>
          <w:marBottom w:val="0"/>
          <w:divBdr>
            <w:top w:val="none" w:sz="0" w:space="0" w:color="auto"/>
            <w:left w:val="none" w:sz="0" w:space="0" w:color="auto"/>
            <w:bottom w:val="none" w:sz="0" w:space="0" w:color="auto"/>
            <w:right w:val="none" w:sz="0" w:space="0" w:color="auto"/>
          </w:divBdr>
        </w:div>
        <w:div w:id="675768438">
          <w:marLeft w:val="0"/>
          <w:marRight w:val="0"/>
          <w:marTop w:val="0"/>
          <w:marBottom w:val="0"/>
          <w:divBdr>
            <w:top w:val="none" w:sz="0" w:space="0" w:color="auto"/>
            <w:left w:val="none" w:sz="0" w:space="0" w:color="auto"/>
            <w:bottom w:val="none" w:sz="0" w:space="0" w:color="auto"/>
            <w:right w:val="none" w:sz="0" w:space="0" w:color="auto"/>
          </w:divBdr>
        </w:div>
        <w:div w:id="765805263">
          <w:marLeft w:val="0"/>
          <w:marRight w:val="0"/>
          <w:marTop w:val="0"/>
          <w:marBottom w:val="0"/>
          <w:divBdr>
            <w:top w:val="none" w:sz="0" w:space="0" w:color="auto"/>
            <w:left w:val="none" w:sz="0" w:space="0" w:color="auto"/>
            <w:bottom w:val="none" w:sz="0" w:space="0" w:color="auto"/>
            <w:right w:val="none" w:sz="0" w:space="0" w:color="auto"/>
          </w:divBdr>
        </w:div>
        <w:div w:id="881555381">
          <w:marLeft w:val="0"/>
          <w:marRight w:val="0"/>
          <w:marTop w:val="0"/>
          <w:marBottom w:val="0"/>
          <w:divBdr>
            <w:top w:val="none" w:sz="0" w:space="0" w:color="auto"/>
            <w:left w:val="none" w:sz="0" w:space="0" w:color="auto"/>
            <w:bottom w:val="none" w:sz="0" w:space="0" w:color="auto"/>
            <w:right w:val="none" w:sz="0" w:space="0" w:color="auto"/>
          </w:divBdr>
        </w:div>
        <w:div w:id="1616593192">
          <w:marLeft w:val="0"/>
          <w:marRight w:val="0"/>
          <w:marTop w:val="0"/>
          <w:marBottom w:val="0"/>
          <w:divBdr>
            <w:top w:val="none" w:sz="0" w:space="0" w:color="auto"/>
            <w:left w:val="none" w:sz="0" w:space="0" w:color="auto"/>
            <w:bottom w:val="none" w:sz="0" w:space="0" w:color="auto"/>
            <w:right w:val="none" w:sz="0" w:space="0" w:color="auto"/>
          </w:divBdr>
        </w:div>
      </w:divsChild>
    </w:div>
    <w:div w:id="263542611">
      <w:bodyDiv w:val="1"/>
      <w:marLeft w:val="0"/>
      <w:marRight w:val="0"/>
      <w:marTop w:val="0"/>
      <w:marBottom w:val="0"/>
      <w:divBdr>
        <w:top w:val="none" w:sz="0" w:space="0" w:color="auto"/>
        <w:left w:val="none" w:sz="0" w:space="0" w:color="auto"/>
        <w:bottom w:val="none" w:sz="0" w:space="0" w:color="auto"/>
        <w:right w:val="none" w:sz="0" w:space="0" w:color="auto"/>
      </w:divBdr>
    </w:div>
    <w:div w:id="300959347">
      <w:bodyDiv w:val="1"/>
      <w:marLeft w:val="0"/>
      <w:marRight w:val="0"/>
      <w:marTop w:val="0"/>
      <w:marBottom w:val="0"/>
      <w:divBdr>
        <w:top w:val="none" w:sz="0" w:space="0" w:color="auto"/>
        <w:left w:val="none" w:sz="0" w:space="0" w:color="auto"/>
        <w:bottom w:val="none" w:sz="0" w:space="0" w:color="auto"/>
        <w:right w:val="none" w:sz="0" w:space="0" w:color="auto"/>
      </w:divBdr>
    </w:div>
    <w:div w:id="857039322">
      <w:bodyDiv w:val="1"/>
      <w:marLeft w:val="0"/>
      <w:marRight w:val="0"/>
      <w:marTop w:val="0"/>
      <w:marBottom w:val="0"/>
      <w:divBdr>
        <w:top w:val="none" w:sz="0" w:space="0" w:color="auto"/>
        <w:left w:val="none" w:sz="0" w:space="0" w:color="auto"/>
        <w:bottom w:val="none" w:sz="0" w:space="0" w:color="auto"/>
        <w:right w:val="none" w:sz="0" w:space="0" w:color="auto"/>
      </w:divBdr>
    </w:div>
    <w:div w:id="1120226349">
      <w:bodyDiv w:val="1"/>
      <w:marLeft w:val="0"/>
      <w:marRight w:val="0"/>
      <w:marTop w:val="0"/>
      <w:marBottom w:val="0"/>
      <w:divBdr>
        <w:top w:val="none" w:sz="0" w:space="0" w:color="auto"/>
        <w:left w:val="none" w:sz="0" w:space="0" w:color="auto"/>
        <w:bottom w:val="none" w:sz="0" w:space="0" w:color="auto"/>
        <w:right w:val="none" w:sz="0" w:space="0" w:color="auto"/>
      </w:divBdr>
    </w:div>
    <w:div w:id="1360468619">
      <w:bodyDiv w:val="1"/>
      <w:marLeft w:val="0"/>
      <w:marRight w:val="0"/>
      <w:marTop w:val="0"/>
      <w:marBottom w:val="0"/>
      <w:divBdr>
        <w:top w:val="none" w:sz="0" w:space="0" w:color="auto"/>
        <w:left w:val="none" w:sz="0" w:space="0" w:color="auto"/>
        <w:bottom w:val="none" w:sz="0" w:space="0" w:color="auto"/>
        <w:right w:val="none" w:sz="0" w:space="0" w:color="auto"/>
      </w:divBdr>
    </w:div>
    <w:div w:id="1397314813">
      <w:bodyDiv w:val="1"/>
      <w:marLeft w:val="0"/>
      <w:marRight w:val="0"/>
      <w:marTop w:val="0"/>
      <w:marBottom w:val="0"/>
      <w:divBdr>
        <w:top w:val="none" w:sz="0" w:space="0" w:color="auto"/>
        <w:left w:val="none" w:sz="0" w:space="0" w:color="auto"/>
        <w:bottom w:val="none" w:sz="0" w:space="0" w:color="auto"/>
        <w:right w:val="none" w:sz="0" w:space="0" w:color="auto"/>
      </w:divBdr>
    </w:div>
    <w:div w:id="1426459893">
      <w:bodyDiv w:val="1"/>
      <w:marLeft w:val="0"/>
      <w:marRight w:val="0"/>
      <w:marTop w:val="0"/>
      <w:marBottom w:val="0"/>
      <w:divBdr>
        <w:top w:val="none" w:sz="0" w:space="0" w:color="auto"/>
        <w:left w:val="none" w:sz="0" w:space="0" w:color="auto"/>
        <w:bottom w:val="none" w:sz="0" w:space="0" w:color="auto"/>
        <w:right w:val="none" w:sz="0" w:space="0" w:color="auto"/>
      </w:divBdr>
    </w:div>
    <w:div w:id="1880556314">
      <w:bodyDiv w:val="1"/>
      <w:marLeft w:val="0"/>
      <w:marRight w:val="0"/>
      <w:marTop w:val="0"/>
      <w:marBottom w:val="0"/>
      <w:divBdr>
        <w:top w:val="none" w:sz="0" w:space="0" w:color="auto"/>
        <w:left w:val="none" w:sz="0" w:space="0" w:color="auto"/>
        <w:bottom w:val="none" w:sz="0" w:space="0" w:color="auto"/>
        <w:right w:val="none" w:sz="0" w:space="0" w:color="auto"/>
      </w:divBdr>
    </w:div>
    <w:div w:id="19559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329D-6675-4405-B27A-9E336964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1932</Words>
  <Characters>11017</Characters>
  <Application>Microsoft Office Word</Application>
  <DocSecurity>0</DocSecurity>
  <Lines>91</Lines>
  <Paragraphs>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TELLIMUSLEPING</vt:lpstr>
      <vt:lpstr>TELLIMUSLEPING</vt:lpstr>
      <vt:lpstr>TELLIMUSLEPING</vt:lpstr>
    </vt:vector>
  </TitlesOfParts>
  <Company>RISO</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TELLIMUSLEPING</dc:title>
  <dc:creator>JT</dc:creator>
  <cp:lastModifiedBy>Melissa Liivak</cp:lastModifiedBy>
  <cp:revision>3</cp:revision>
  <cp:lastPrinted>2016-10-25T10:05:00Z</cp:lastPrinted>
  <dcterms:created xsi:type="dcterms:W3CDTF">2025-10-06T11:37:00Z</dcterms:created>
  <dcterms:modified xsi:type="dcterms:W3CDTF">2025-10-06T11:38:00Z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gDateTime">
    <vt:lpwstr>{reg.kpv}</vt:lpwstr>
  </property>
  <property fmtid="{D5CDD505-2E9C-101B-9397-08002B2CF9AE}" pid="6" name="delta_regNumber">
    <vt:lpwstr>{viit}</vt:lpwstr>
  </property>
</Properties>
</file>